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21898041"/>
        <w:docPartObj>
          <w:docPartGallery w:val="Cover Pages"/>
          <w:docPartUnique/>
        </w:docPartObj>
      </w:sdtPr>
      <w:sdtEndPr/>
      <w:sdtContent>
        <w:p w14:paraId="1E77955F" w14:textId="77777777" w:rsidR="005E0143" w:rsidRDefault="005E0143" w:rsidP="005E0143">
          <w:pPr>
            <w:ind w:left="-1560" w:right="-2270"/>
          </w:pPr>
          <w:r>
            <w:rPr>
              <w:noProof/>
            </w:rPr>
            <w:drawing>
              <wp:inline distT="0" distB="0" distL="0" distR="0" wp14:anchorId="625085FE" wp14:editId="46314394">
                <wp:extent cx="7375161" cy="7375161"/>
                <wp:effectExtent l="0" t="0" r="0" b="0"/>
                <wp:docPr id="130" name="Bildobjekt 130" descr="Flygbild över Trollhättan centrum med klaffbron i förgru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Bildobjekt 130" descr="Flygbild över Trollhättan centrum med klaffbron i förgrunden"/>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880" t="-361" r="23934" b="361"/>
                        <a:stretch/>
                      </pic:blipFill>
                      <pic:spPr bwMode="auto">
                        <a:xfrm>
                          <a:off x="0" y="0"/>
                          <a:ext cx="7381059" cy="7381059"/>
                        </a:xfrm>
                        <a:prstGeom prst="rect">
                          <a:avLst/>
                        </a:prstGeom>
                        <a:noFill/>
                        <a:ln>
                          <a:noFill/>
                        </a:ln>
                        <a:extLst>
                          <a:ext uri="{53640926-AAD7-44D8-BBD7-CCE9431645EC}">
                            <a14:shadowObscured xmlns:a14="http://schemas.microsoft.com/office/drawing/2010/main"/>
                          </a:ext>
                        </a:extLst>
                      </pic:spPr>
                    </pic:pic>
                  </a:graphicData>
                </a:graphic>
              </wp:inline>
            </w:drawing>
          </w:r>
        </w:p>
        <w:p w14:paraId="6CAA2823" w14:textId="77777777" w:rsidR="005E0143" w:rsidRPr="007D759A" w:rsidRDefault="00F001E6" w:rsidP="00E26498">
          <w:pPr>
            <w:pStyle w:val="Ingetavstnd"/>
            <w:ind w:right="565"/>
            <w:rPr>
              <w:rFonts w:ascii="Barlow" w:eastAsiaTheme="majorEastAsia" w:hAnsi="Barlow" w:cstheme="majorBidi"/>
              <w:b/>
              <w:bCs/>
              <w:color w:val="595959" w:themeColor="text1" w:themeTint="A6"/>
              <w:sz w:val="48"/>
              <w:szCs w:val="48"/>
            </w:rPr>
          </w:pPr>
          <w:sdt>
            <w:sdtPr>
              <w:rPr>
                <w:rFonts w:ascii="Barlow" w:eastAsiaTheme="majorEastAsia" w:hAnsi="Barlow" w:cstheme="majorBidi"/>
                <w:b/>
                <w:bCs/>
                <w:color w:val="595959" w:themeColor="text1" w:themeTint="A6"/>
                <w:sz w:val="56"/>
                <w:szCs w:val="56"/>
              </w:rPr>
              <w:alias w:val="Rubrik"/>
              <w:tag w:val=""/>
              <w:id w:val="-1476986296"/>
              <w:dataBinding w:prefixMappings="xmlns:ns0='http://purl.org/dc/elements/1.1/' xmlns:ns1='http://schemas.openxmlformats.org/package/2006/metadata/core-properties' " w:xpath="/ns1:coreProperties[1]/ns0:title[1]" w:storeItemID="{6C3C8BC8-F283-45AE-878A-BAB7291924A1}"/>
              <w:text/>
            </w:sdtPr>
            <w:sdtEndPr/>
            <w:sdtContent>
              <w:r w:rsidR="00E26498" w:rsidRPr="007D759A">
                <w:rPr>
                  <w:rFonts w:ascii="Barlow" w:eastAsiaTheme="majorEastAsia" w:hAnsi="Barlow" w:cstheme="majorBidi"/>
                  <w:b/>
                  <w:bCs/>
                  <w:color w:val="595959" w:themeColor="text1" w:themeTint="A6"/>
                  <w:sz w:val="56"/>
                  <w:szCs w:val="56"/>
                </w:rPr>
                <w:t>Växthusgasutsläpp i Trollhättans Stad</w:t>
              </w:r>
            </w:sdtContent>
          </w:sdt>
        </w:p>
        <w:sdt>
          <w:sdtPr>
            <w:rPr>
              <w:rFonts w:ascii="Barlow SemiBold" w:hAnsi="Barlow SemiBold"/>
              <w:caps/>
              <w:color w:val="292929" w:themeColor="text2"/>
              <w:sz w:val="32"/>
              <w:szCs w:val="32"/>
            </w:rPr>
            <w:alias w:val="Underrubrik"/>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56D2C39F" w14:textId="77777777" w:rsidR="005E0143" w:rsidRPr="00E26498" w:rsidRDefault="00E26498" w:rsidP="005E0143">
              <w:pPr>
                <w:pStyle w:val="Ingetavstnd"/>
                <w:spacing w:before="240"/>
                <w:rPr>
                  <w:caps/>
                  <w:color w:val="292929" w:themeColor="text2"/>
                  <w:sz w:val="32"/>
                  <w:szCs w:val="32"/>
                </w:rPr>
              </w:pPr>
              <w:r w:rsidRPr="007D759A">
                <w:rPr>
                  <w:rFonts w:ascii="Barlow SemiBold" w:hAnsi="Barlow SemiBold"/>
                  <w:caps/>
                  <w:color w:val="292929" w:themeColor="text2"/>
                  <w:sz w:val="32"/>
                  <w:szCs w:val="32"/>
                </w:rPr>
                <w:t>En sammanställning januari 2024</w:t>
              </w:r>
            </w:p>
          </w:sdtContent>
        </w:sdt>
        <w:p w14:paraId="6EA77CCE" w14:textId="406F0957" w:rsidR="005E0143" w:rsidRDefault="00F001E6">
          <w:pPr>
            <w:sectPr w:rsidR="005E0143" w:rsidSect="005E0143">
              <w:headerReference w:type="default" r:id="rId9"/>
              <w:footerReference w:type="default" r:id="rId10"/>
              <w:footerReference w:type="first" r:id="rId11"/>
              <w:pgSz w:w="11906" w:h="16838" w:code="9"/>
              <w:pgMar w:top="142" w:right="2552" w:bottom="1418" w:left="1701" w:header="23" w:footer="425" w:gutter="0"/>
              <w:pgNumType w:start="0"/>
              <w:cols w:space="708"/>
              <w:titlePg/>
              <w:docGrid w:linePitch="360"/>
            </w:sectPr>
          </w:pPr>
        </w:p>
      </w:sdtContent>
    </w:sdt>
    <w:sdt>
      <w:sdtPr>
        <w:rPr>
          <w:rFonts w:asciiTheme="minorHAnsi" w:eastAsiaTheme="minorHAnsi" w:hAnsiTheme="minorHAnsi" w:cstheme="minorBidi"/>
          <w:color w:val="auto"/>
          <w:sz w:val="24"/>
          <w:szCs w:val="22"/>
          <w:lang w:eastAsia="en-US"/>
        </w:rPr>
        <w:id w:val="2039239723"/>
        <w:docPartObj>
          <w:docPartGallery w:val="Table of Contents"/>
          <w:docPartUnique/>
        </w:docPartObj>
      </w:sdtPr>
      <w:sdtEndPr>
        <w:rPr>
          <w:b/>
          <w:bCs/>
          <w:sz w:val="22"/>
        </w:rPr>
      </w:sdtEndPr>
      <w:sdtContent>
        <w:p w14:paraId="2A6BE712" w14:textId="77777777" w:rsidR="005E0143" w:rsidRDefault="005E0143">
          <w:pPr>
            <w:pStyle w:val="Innehllsfrteckningsrubrik"/>
          </w:pPr>
          <w:r>
            <w:t>Innehåll</w:t>
          </w:r>
        </w:p>
        <w:p w14:paraId="0BD03DB4" w14:textId="7CB0A501" w:rsidR="00E13823" w:rsidRDefault="005E0143">
          <w:pPr>
            <w:pStyle w:val="Innehll1"/>
            <w:tabs>
              <w:tab w:val="right" w:leader="dot" w:pos="7643"/>
            </w:tabs>
            <w:rPr>
              <w:rFonts w:eastAsiaTheme="minorEastAsia"/>
              <w:noProof/>
              <w:lang w:eastAsia="sv-SE"/>
            </w:rPr>
          </w:pPr>
          <w:r>
            <w:fldChar w:fldCharType="begin"/>
          </w:r>
          <w:r>
            <w:instrText xml:space="preserve"> TOC \o "1-3" \h \z \u </w:instrText>
          </w:r>
          <w:r>
            <w:fldChar w:fldCharType="separate"/>
          </w:r>
          <w:hyperlink w:anchor="_Toc155788943" w:history="1">
            <w:r w:rsidR="00E13823" w:rsidRPr="003D74D5">
              <w:rPr>
                <w:rStyle w:val="Hyperlnk"/>
                <w:noProof/>
              </w:rPr>
              <w:t>Förord</w:t>
            </w:r>
            <w:r w:rsidR="00E13823">
              <w:rPr>
                <w:noProof/>
                <w:webHidden/>
              </w:rPr>
              <w:tab/>
            </w:r>
            <w:r w:rsidR="00E13823">
              <w:rPr>
                <w:noProof/>
                <w:webHidden/>
              </w:rPr>
              <w:fldChar w:fldCharType="begin"/>
            </w:r>
            <w:r w:rsidR="00E13823">
              <w:rPr>
                <w:noProof/>
                <w:webHidden/>
              </w:rPr>
              <w:instrText xml:space="preserve"> PAGEREF _Toc155788943 \h </w:instrText>
            </w:r>
            <w:r w:rsidR="00E13823">
              <w:rPr>
                <w:noProof/>
                <w:webHidden/>
              </w:rPr>
            </w:r>
            <w:r w:rsidR="00E13823">
              <w:rPr>
                <w:noProof/>
                <w:webHidden/>
              </w:rPr>
              <w:fldChar w:fldCharType="separate"/>
            </w:r>
            <w:r w:rsidR="00E13823">
              <w:rPr>
                <w:noProof/>
                <w:webHidden/>
              </w:rPr>
              <w:t>1</w:t>
            </w:r>
            <w:r w:rsidR="00E13823">
              <w:rPr>
                <w:noProof/>
                <w:webHidden/>
              </w:rPr>
              <w:fldChar w:fldCharType="end"/>
            </w:r>
          </w:hyperlink>
        </w:p>
        <w:p w14:paraId="4EDBCEC9" w14:textId="43D4DD1B" w:rsidR="00E13823" w:rsidRDefault="00F001E6">
          <w:pPr>
            <w:pStyle w:val="Innehll1"/>
            <w:tabs>
              <w:tab w:val="right" w:leader="dot" w:pos="7643"/>
            </w:tabs>
            <w:rPr>
              <w:rFonts w:eastAsiaTheme="minorEastAsia"/>
              <w:noProof/>
              <w:lang w:eastAsia="sv-SE"/>
            </w:rPr>
          </w:pPr>
          <w:hyperlink w:anchor="_Toc155788944" w:history="1">
            <w:r w:rsidR="00E13823" w:rsidRPr="003D74D5">
              <w:rPr>
                <w:rStyle w:val="Hyperlnk"/>
                <w:noProof/>
              </w:rPr>
              <w:t>Territoriell koldioxidbudget för Trollhättan</w:t>
            </w:r>
            <w:r w:rsidR="00E13823">
              <w:rPr>
                <w:noProof/>
                <w:webHidden/>
              </w:rPr>
              <w:tab/>
            </w:r>
            <w:r w:rsidR="00E13823">
              <w:rPr>
                <w:noProof/>
                <w:webHidden/>
              </w:rPr>
              <w:fldChar w:fldCharType="begin"/>
            </w:r>
            <w:r w:rsidR="00E13823">
              <w:rPr>
                <w:noProof/>
                <w:webHidden/>
              </w:rPr>
              <w:instrText xml:space="preserve"> PAGEREF _Toc155788944 \h </w:instrText>
            </w:r>
            <w:r w:rsidR="00E13823">
              <w:rPr>
                <w:noProof/>
                <w:webHidden/>
              </w:rPr>
            </w:r>
            <w:r w:rsidR="00E13823">
              <w:rPr>
                <w:noProof/>
                <w:webHidden/>
              </w:rPr>
              <w:fldChar w:fldCharType="separate"/>
            </w:r>
            <w:r w:rsidR="00E13823">
              <w:rPr>
                <w:noProof/>
                <w:webHidden/>
              </w:rPr>
              <w:t>1</w:t>
            </w:r>
            <w:r w:rsidR="00E13823">
              <w:rPr>
                <w:noProof/>
                <w:webHidden/>
              </w:rPr>
              <w:fldChar w:fldCharType="end"/>
            </w:r>
          </w:hyperlink>
        </w:p>
        <w:p w14:paraId="6198D38A" w14:textId="73A4FA1B" w:rsidR="00E13823" w:rsidRDefault="00F001E6">
          <w:pPr>
            <w:pStyle w:val="Innehll1"/>
            <w:tabs>
              <w:tab w:val="right" w:leader="dot" w:pos="7643"/>
            </w:tabs>
            <w:rPr>
              <w:rFonts w:eastAsiaTheme="minorEastAsia"/>
              <w:noProof/>
              <w:lang w:eastAsia="sv-SE"/>
            </w:rPr>
          </w:pPr>
          <w:hyperlink w:anchor="_Toc155788945" w:history="1">
            <w:r w:rsidR="00E13823" w:rsidRPr="003D74D5">
              <w:rPr>
                <w:rStyle w:val="Hyperlnk"/>
                <w:noProof/>
              </w:rPr>
              <w:t>Växthusgasutsläpp utifrån källa</w:t>
            </w:r>
            <w:r w:rsidR="00E13823">
              <w:rPr>
                <w:noProof/>
                <w:webHidden/>
              </w:rPr>
              <w:tab/>
            </w:r>
            <w:r w:rsidR="00E13823">
              <w:rPr>
                <w:noProof/>
                <w:webHidden/>
              </w:rPr>
              <w:fldChar w:fldCharType="begin"/>
            </w:r>
            <w:r w:rsidR="00E13823">
              <w:rPr>
                <w:noProof/>
                <w:webHidden/>
              </w:rPr>
              <w:instrText xml:space="preserve"> PAGEREF _Toc155788945 \h </w:instrText>
            </w:r>
            <w:r w:rsidR="00E13823">
              <w:rPr>
                <w:noProof/>
                <w:webHidden/>
              </w:rPr>
            </w:r>
            <w:r w:rsidR="00E13823">
              <w:rPr>
                <w:noProof/>
                <w:webHidden/>
              </w:rPr>
              <w:fldChar w:fldCharType="separate"/>
            </w:r>
            <w:r w:rsidR="00E13823">
              <w:rPr>
                <w:noProof/>
                <w:webHidden/>
              </w:rPr>
              <w:t>3</w:t>
            </w:r>
            <w:r w:rsidR="00E13823">
              <w:rPr>
                <w:noProof/>
                <w:webHidden/>
              </w:rPr>
              <w:fldChar w:fldCharType="end"/>
            </w:r>
          </w:hyperlink>
        </w:p>
        <w:p w14:paraId="3EF84779" w14:textId="63958170" w:rsidR="00E13823" w:rsidRDefault="00F001E6">
          <w:pPr>
            <w:pStyle w:val="Innehll2"/>
            <w:tabs>
              <w:tab w:val="right" w:leader="dot" w:pos="7643"/>
            </w:tabs>
            <w:rPr>
              <w:rFonts w:eastAsiaTheme="minorEastAsia"/>
              <w:noProof/>
              <w:lang w:eastAsia="sv-SE"/>
            </w:rPr>
          </w:pPr>
          <w:hyperlink w:anchor="_Toc155788946" w:history="1">
            <w:r w:rsidR="00E13823" w:rsidRPr="003D74D5">
              <w:rPr>
                <w:rStyle w:val="Hyperlnk"/>
                <w:noProof/>
              </w:rPr>
              <w:t>Deponier</w:t>
            </w:r>
            <w:r w:rsidR="00E13823">
              <w:rPr>
                <w:noProof/>
                <w:webHidden/>
              </w:rPr>
              <w:tab/>
            </w:r>
            <w:r w:rsidR="00E13823">
              <w:rPr>
                <w:noProof/>
                <w:webHidden/>
              </w:rPr>
              <w:fldChar w:fldCharType="begin"/>
            </w:r>
            <w:r w:rsidR="00E13823">
              <w:rPr>
                <w:noProof/>
                <w:webHidden/>
              </w:rPr>
              <w:instrText xml:space="preserve"> PAGEREF _Toc155788946 \h </w:instrText>
            </w:r>
            <w:r w:rsidR="00E13823">
              <w:rPr>
                <w:noProof/>
                <w:webHidden/>
              </w:rPr>
            </w:r>
            <w:r w:rsidR="00E13823">
              <w:rPr>
                <w:noProof/>
                <w:webHidden/>
              </w:rPr>
              <w:fldChar w:fldCharType="separate"/>
            </w:r>
            <w:r w:rsidR="00E13823">
              <w:rPr>
                <w:noProof/>
                <w:webHidden/>
              </w:rPr>
              <w:t>3</w:t>
            </w:r>
            <w:r w:rsidR="00E13823">
              <w:rPr>
                <w:noProof/>
                <w:webHidden/>
              </w:rPr>
              <w:fldChar w:fldCharType="end"/>
            </w:r>
          </w:hyperlink>
        </w:p>
        <w:p w14:paraId="55DACDD7" w14:textId="0B4A074C" w:rsidR="00E13823" w:rsidRDefault="00F001E6">
          <w:pPr>
            <w:pStyle w:val="Innehll2"/>
            <w:tabs>
              <w:tab w:val="right" w:leader="dot" w:pos="7643"/>
            </w:tabs>
            <w:rPr>
              <w:rFonts w:eastAsiaTheme="minorEastAsia"/>
              <w:noProof/>
              <w:lang w:eastAsia="sv-SE"/>
            </w:rPr>
          </w:pPr>
          <w:hyperlink w:anchor="_Toc155788947" w:history="1">
            <w:r w:rsidR="00E13823" w:rsidRPr="003D74D5">
              <w:rPr>
                <w:rStyle w:val="Hyperlnk"/>
                <w:noProof/>
              </w:rPr>
              <w:t>Transporter</w:t>
            </w:r>
            <w:r w:rsidR="00E13823">
              <w:rPr>
                <w:noProof/>
                <w:webHidden/>
              </w:rPr>
              <w:tab/>
            </w:r>
            <w:r w:rsidR="00E13823">
              <w:rPr>
                <w:noProof/>
                <w:webHidden/>
              </w:rPr>
              <w:fldChar w:fldCharType="begin"/>
            </w:r>
            <w:r w:rsidR="00E13823">
              <w:rPr>
                <w:noProof/>
                <w:webHidden/>
              </w:rPr>
              <w:instrText xml:space="preserve"> PAGEREF _Toc155788947 \h </w:instrText>
            </w:r>
            <w:r w:rsidR="00E13823">
              <w:rPr>
                <w:noProof/>
                <w:webHidden/>
              </w:rPr>
            </w:r>
            <w:r w:rsidR="00E13823">
              <w:rPr>
                <w:noProof/>
                <w:webHidden/>
              </w:rPr>
              <w:fldChar w:fldCharType="separate"/>
            </w:r>
            <w:r w:rsidR="00E13823">
              <w:rPr>
                <w:noProof/>
                <w:webHidden/>
              </w:rPr>
              <w:t>5</w:t>
            </w:r>
            <w:r w:rsidR="00E13823">
              <w:rPr>
                <w:noProof/>
                <w:webHidden/>
              </w:rPr>
              <w:fldChar w:fldCharType="end"/>
            </w:r>
          </w:hyperlink>
        </w:p>
        <w:p w14:paraId="461785A0" w14:textId="450E3924" w:rsidR="00E13823" w:rsidRDefault="00F001E6">
          <w:pPr>
            <w:pStyle w:val="Innehll2"/>
            <w:tabs>
              <w:tab w:val="right" w:leader="dot" w:pos="7643"/>
            </w:tabs>
            <w:rPr>
              <w:rFonts w:eastAsiaTheme="minorEastAsia"/>
              <w:noProof/>
              <w:lang w:eastAsia="sv-SE"/>
            </w:rPr>
          </w:pPr>
          <w:hyperlink w:anchor="_Toc155788948" w:history="1">
            <w:r w:rsidR="00E13823" w:rsidRPr="003D74D5">
              <w:rPr>
                <w:rStyle w:val="Hyperlnk"/>
                <w:noProof/>
              </w:rPr>
              <w:t>Arbetsmaskiner</w:t>
            </w:r>
            <w:r w:rsidR="00E13823">
              <w:rPr>
                <w:noProof/>
                <w:webHidden/>
              </w:rPr>
              <w:tab/>
            </w:r>
            <w:r w:rsidR="00E13823">
              <w:rPr>
                <w:noProof/>
                <w:webHidden/>
              </w:rPr>
              <w:fldChar w:fldCharType="begin"/>
            </w:r>
            <w:r w:rsidR="00E13823">
              <w:rPr>
                <w:noProof/>
                <w:webHidden/>
              </w:rPr>
              <w:instrText xml:space="preserve"> PAGEREF _Toc155788948 \h </w:instrText>
            </w:r>
            <w:r w:rsidR="00E13823">
              <w:rPr>
                <w:noProof/>
                <w:webHidden/>
              </w:rPr>
            </w:r>
            <w:r w:rsidR="00E13823">
              <w:rPr>
                <w:noProof/>
                <w:webHidden/>
              </w:rPr>
              <w:fldChar w:fldCharType="separate"/>
            </w:r>
            <w:r w:rsidR="00E13823">
              <w:rPr>
                <w:noProof/>
                <w:webHidden/>
              </w:rPr>
              <w:t>6</w:t>
            </w:r>
            <w:r w:rsidR="00E13823">
              <w:rPr>
                <w:noProof/>
                <w:webHidden/>
              </w:rPr>
              <w:fldChar w:fldCharType="end"/>
            </w:r>
          </w:hyperlink>
        </w:p>
        <w:p w14:paraId="0F6E20C5" w14:textId="2826B944" w:rsidR="00E13823" w:rsidRDefault="00F001E6">
          <w:pPr>
            <w:pStyle w:val="Innehll2"/>
            <w:tabs>
              <w:tab w:val="right" w:leader="dot" w:pos="7643"/>
            </w:tabs>
            <w:rPr>
              <w:rFonts w:eastAsiaTheme="minorEastAsia"/>
              <w:noProof/>
              <w:lang w:eastAsia="sv-SE"/>
            </w:rPr>
          </w:pPr>
          <w:hyperlink w:anchor="_Toc155788949" w:history="1">
            <w:r w:rsidR="00E13823" w:rsidRPr="003D74D5">
              <w:rPr>
                <w:rStyle w:val="Hyperlnk"/>
                <w:noProof/>
              </w:rPr>
              <w:t>Jordbruk</w:t>
            </w:r>
            <w:r w:rsidR="00E13823">
              <w:rPr>
                <w:noProof/>
                <w:webHidden/>
              </w:rPr>
              <w:tab/>
            </w:r>
            <w:r w:rsidR="00E13823">
              <w:rPr>
                <w:noProof/>
                <w:webHidden/>
              </w:rPr>
              <w:fldChar w:fldCharType="begin"/>
            </w:r>
            <w:r w:rsidR="00E13823">
              <w:rPr>
                <w:noProof/>
                <w:webHidden/>
              </w:rPr>
              <w:instrText xml:space="preserve"> PAGEREF _Toc155788949 \h </w:instrText>
            </w:r>
            <w:r w:rsidR="00E13823">
              <w:rPr>
                <w:noProof/>
                <w:webHidden/>
              </w:rPr>
            </w:r>
            <w:r w:rsidR="00E13823">
              <w:rPr>
                <w:noProof/>
                <w:webHidden/>
              </w:rPr>
              <w:fldChar w:fldCharType="separate"/>
            </w:r>
            <w:r w:rsidR="00E13823">
              <w:rPr>
                <w:noProof/>
                <w:webHidden/>
              </w:rPr>
              <w:t>6</w:t>
            </w:r>
            <w:r w:rsidR="00E13823">
              <w:rPr>
                <w:noProof/>
                <w:webHidden/>
              </w:rPr>
              <w:fldChar w:fldCharType="end"/>
            </w:r>
          </w:hyperlink>
        </w:p>
        <w:p w14:paraId="0EEBF0A6" w14:textId="0240FC67" w:rsidR="00E13823" w:rsidRDefault="00F001E6">
          <w:pPr>
            <w:pStyle w:val="Innehll2"/>
            <w:tabs>
              <w:tab w:val="right" w:leader="dot" w:pos="7643"/>
            </w:tabs>
            <w:rPr>
              <w:rFonts w:eastAsiaTheme="minorEastAsia"/>
              <w:noProof/>
              <w:lang w:eastAsia="sv-SE"/>
            </w:rPr>
          </w:pPr>
          <w:hyperlink w:anchor="_Toc155788950" w:history="1">
            <w:r w:rsidR="00E13823" w:rsidRPr="003D74D5">
              <w:rPr>
                <w:rStyle w:val="Hyperlnk"/>
                <w:noProof/>
              </w:rPr>
              <w:t>Utrikes transporter</w:t>
            </w:r>
            <w:r w:rsidR="00E13823">
              <w:rPr>
                <w:noProof/>
                <w:webHidden/>
              </w:rPr>
              <w:tab/>
            </w:r>
            <w:r w:rsidR="00E13823">
              <w:rPr>
                <w:noProof/>
                <w:webHidden/>
              </w:rPr>
              <w:fldChar w:fldCharType="begin"/>
            </w:r>
            <w:r w:rsidR="00E13823">
              <w:rPr>
                <w:noProof/>
                <w:webHidden/>
              </w:rPr>
              <w:instrText xml:space="preserve"> PAGEREF _Toc155788950 \h </w:instrText>
            </w:r>
            <w:r w:rsidR="00E13823">
              <w:rPr>
                <w:noProof/>
                <w:webHidden/>
              </w:rPr>
            </w:r>
            <w:r w:rsidR="00E13823">
              <w:rPr>
                <w:noProof/>
                <w:webHidden/>
              </w:rPr>
              <w:fldChar w:fldCharType="separate"/>
            </w:r>
            <w:r w:rsidR="00E13823">
              <w:rPr>
                <w:noProof/>
                <w:webHidden/>
              </w:rPr>
              <w:t>7</w:t>
            </w:r>
            <w:r w:rsidR="00E13823">
              <w:rPr>
                <w:noProof/>
                <w:webHidden/>
              </w:rPr>
              <w:fldChar w:fldCharType="end"/>
            </w:r>
          </w:hyperlink>
        </w:p>
        <w:p w14:paraId="0AFE4D44" w14:textId="6A0825EB" w:rsidR="005E0143" w:rsidRDefault="00F001E6" w:rsidP="00E13823">
          <w:pPr>
            <w:pStyle w:val="Innehll1"/>
            <w:tabs>
              <w:tab w:val="right" w:leader="dot" w:pos="7643"/>
            </w:tabs>
          </w:pPr>
          <w:hyperlink w:anchor="_Toc155788951" w:history="1">
            <w:r w:rsidR="00E13823" w:rsidRPr="003D74D5">
              <w:rPr>
                <w:rStyle w:val="Hyperlnk"/>
                <w:noProof/>
              </w:rPr>
              <w:t>Konsumtionsbaserade utsläpp</w:t>
            </w:r>
            <w:r w:rsidR="00E13823">
              <w:rPr>
                <w:noProof/>
                <w:webHidden/>
              </w:rPr>
              <w:tab/>
            </w:r>
            <w:r w:rsidR="00E13823">
              <w:rPr>
                <w:noProof/>
                <w:webHidden/>
              </w:rPr>
              <w:fldChar w:fldCharType="begin"/>
            </w:r>
            <w:r w:rsidR="00E13823">
              <w:rPr>
                <w:noProof/>
                <w:webHidden/>
              </w:rPr>
              <w:instrText xml:space="preserve"> PAGEREF _Toc155788951 \h </w:instrText>
            </w:r>
            <w:r w:rsidR="00E13823">
              <w:rPr>
                <w:noProof/>
                <w:webHidden/>
              </w:rPr>
            </w:r>
            <w:r w:rsidR="00E13823">
              <w:rPr>
                <w:noProof/>
                <w:webHidden/>
              </w:rPr>
              <w:fldChar w:fldCharType="separate"/>
            </w:r>
            <w:r w:rsidR="00E13823">
              <w:rPr>
                <w:noProof/>
                <w:webHidden/>
              </w:rPr>
              <w:t>7</w:t>
            </w:r>
            <w:r w:rsidR="00E13823">
              <w:rPr>
                <w:noProof/>
                <w:webHidden/>
              </w:rPr>
              <w:fldChar w:fldCharType="end"/>
            </w:r>
          </w:hyperlink>
          <w:r w:rsidR="005E0143">
            <w:rPr>
              <w:b/>
              <w:bCs/>
            </w:rPr>
            <w:fldChar w:fldCharType="end"/>
          </w:r>
        </w:p>
      </w:sdtContent>
    </w:sdt>
    <w:p w14:paraId="58E6DBD4" w14:textId="77777777" w:rsidR="005E0143" w:rsidRDefault="008E2B9A" w:rsidP="005E0143">
      <w:pPr>
        <w:pStyle w:val="Rubrik1"/>
      </w:pPr>
      <w:bookmarkStart w:id="0" w:name="_Toc155682108"/>
      <w:bookmarkStart w:id="1" w:name="_Toc155788943"/>
      <w:r>
        <w:t>Fö</w:t>
      </w:r>
      <w:bookmarkEnd w:id="0"/>
      <w:r>
        <w:t>rord</w:t>
      </w:r>
      <w:bookmarkEnd w:id="1"/>
    </w:p>
    <w:p w14:paraId="2B8C41B6" w14:textId="77777777" w:rsidR="008E2B9A" w:rsidRDefault="008E2B9A" w:rsidP="004C7A4F">
      <w:bookmarkStart w:id="2" w:name="_Toc155682109"/>
      <w:r w:rsidRPr="00244538">
        <w:t>Första versionen av detta dokument tillkom efter en presentation i miljöutskottet    7 april 2020</w:t>
      </w:r>
      <w:r>
        <w:t xml:space="preserve"> och arbetet med koldiodbudget som följde hösten efter det</w:t>
      </w:r>
      <w:r w:rsidRPr="00244538">
        <w:t xml:space="preserve">. </w:t>
      </w:r>
      <w:r>
        <w:t xml:space="preserve">Under 2023 har Västra Götaland uppdaterat sin koldioxidbudget varvid Trollhättan behöver göra det samma. En uppdatering sen tidigare är att alla växthusgaser presenteras och inte bara koldioxiden, dock bygger koldioxidbudgeten på enbart koldioxidutsläpp. Anledningen till att sammanställningen tidigare fokuserade på just koldioxidutsläppen var dels att koldioxidbudgeten bara tittar på </w:t>
      </w:r>
      <w:r w:rsidR="004C7A4F">
        <w:t>koldioxid, dels</w:t>
      </w:r>
      <w:r>
        <w:t xml:space="preserve"> att Trollhättan har relativt stora metanutsläpp från deponierna som vi inte kan påverka. </w:t>
      </w:r>
    </w:p>
    <w:p w14:paraId="3EC1B9F6" w14:textId="13016985" w:rsidR="008E2B9A" w:rsidRPr="00244538" w:rsidRDefault="008E2B9A" w:rsidP="004C7A4F">
      <w:r w:rsidRPr="00244538">
        <w:t xml:space="preserve">Detta dokument utgör </w:t>
      </w:r>
      <w:r w:rsidR="00225020">
        <w:t>underlag i stadens klimatarbete</w:t>
      </w:r>
      <w:r w:rsidRPr="00244538">
        <w:t xml:space="preserve">. Dokumentet kan med fördel spridas </w:t>
      </w:r>
      <w:r w:rsidR="00225020">
        <w:t xml:space="preserve">i andra forum </w:t>
      </w:r>
      <w:r w:rsidRPr="00244538">
        <w:t xml:space="preserve">och användas som kunskapsunderlag. </w:t>
      </w:r>
      <w:r w:rsidR="00E63946">
        <w:t>Önskas tillgång till statistikfiler som används för att ta fram diagrammen kontaktas Fia Johannessen eller Agnes Falck, Hållbarhetsavdelningen Trollhättan Stad.</w:t>
      </w:r>
    </w:p>
    <w:p w14:paraId="2907D9DA" w14:textId="269B84BA" w:rsidR="004A27AD" w:rsidRDefault="008E2B9A" w:rsidP="004C7A4F">
      <w:r>
        <w:t>/Fia Johannessen</w:t>
      </w:r>
    </w:p>
    <w:p w14:paraId="373F88EC" w14:textId="77777777" w:rsidR="004A27AD" w:rsidRDefault="004A27AD">
      <w:pPr>
        <w:spacing w:line="259" w:lineRule="auto"/>
      </w:pPr>
      <w:r>
        <w:br w:type="page"/>
      </w:r>
    </w:p>
    <w:p w14:paraId="2D3D3E9D" w14:textId="77777777" w:rsidR="005E0143" w:rsidRPr="0014568E" w:rsidRDefault="008E2B9A" w:rsidP="004C7A4F">
      <w:pPr>
        <w:pStyle w:val="Rubrik1"/>
      </w:pPr>
      <w:bookmarkStart w:id="3" w:name="_Toc155788944"/>
      <w:bookmarkEnd w:id="2"/>
      <w:r>
        <w:lastRenderedPageBreak/>
        <w:t>Territoriell koldioxidbudget för Trollhättan</w:t>
      </w:r>
      <w:bookmarkEnd w:id="3"/>
    </w:p>
    <w:p w14:paraId="021278B8" w14:textId="11B96433" w:rsidR="009C4741" w:rsidRDefault="004C7A4F" w:rsidP="004C7A4F">
      <w:r w:rsidRPr="004C7A4F">
        <w:t>Vetenskapligt visar en koldioxidbudget hur mycket ytterligare växthusgaser som ryms i atmosfären. Man räknar ut hur mycket växthusgaser som ”får plats” atmosfären för en viss medeltemperatur, exempelvis 2 grader varmare än förindustriell tid vilket är nivån som sattes i Parisavtalet.</w:t>
      </w:r>
    </w:p>
    <w:p w14:paraId="57847EF5" w14:textId="77777777" w:rsidR="004C7A4F" w:rsidRDefault="004C7A4F" w:rsidP="004C7A4F">
      <w:r>
        <w:rPr>
          <w:noProof/>
        </w:rPr>
        <w:drawing>
          <wp:inline distT="0" distB="0" distL="0" distR="0" wp14:anchorId="6AFA6A97" wp14:editId="2BA4EB5E">
            <wp:extent cx="4859655" cy="2583712"/>
            <wp:effectExtent l="0" t="0" r="17145" b="7620"/>
            <wp:docPr id="134" name="Diagram 134" descr="Diagram som visar utsläpp av fossil koldioxid och koldioxidbudgetens utrymme att släppa ut koldioxid de kommande åren = minska utsläppen 15 % per å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1075B91" w14:textId="66ABFCC4" w:rsidR="004C7A4F" w:rsidRPr="004E4A9D" w:rsidRDefault="004C7A4F" w:rsidP="004C7A4F">
      <w:pPr>
        <w:rPr>
          <w:i/>
          <w:iCs/>
        </w:rPr>
      </w:pPr>
      <w:r w:rsidRPr="004E4A9D">
        <w:rPr>
          <w:i/>
          <w:iCs/>
        </w:rPr>
        <w:t xml:space="preserve">Diagram 1: Utsläpp av fossil koldioxid </w:t>
      </w:r>
      <w:proofErr w:type="spellStart"/>
      <w:r w:rsidRPr="004E4A9D">
        <w:rPr>
          <w:i/>
          <w:iCs/>
        </w:rPr>
        <w:t>t.o.m</w:t>
      </w:r>
      <w:proofErr w:type="spellEnd"/>
      <w:r w:rsidRPr="004E4A9D">
        <w:rPr>
          <w:i/>
          <w:iCs/>
        </w:rPr>
        <w:t xml:space="preserve"> 2021 och utrymme att släppa ut koldioxid de kommande åren och hålla sig under 2-graders målet.</w:t>
      </w:r>
    </w:p>
    <w:p w14:paraId="1F7B0CE2" w14:textId="7C98D359" w:rsidR="004E4A9D" w:rsidRDefault="004E4A9D" w:rsidP="004E4A9D">
      <w:r>
        <w:t xml:space="preserve">Västra </w:t>
      </w:r>
      <w:proofErr w:type="gramStart"/>
      <w:r>
        <w:t>Götalands regionen</w:t>
      </w:r>
      <w:proofErr w:type="gramEnd"/>
      <w:r>
        <w:t xml:space="preserve"> har låtit forskare vi Uppsala Universitet ta fram en koldioxid</w:t>
      </w:r>
      <w:r w:rsidR="009B2650">
        <w:t>budget</w:t>
      </w:r>
      <w:r>
        <w:t xml:space="preserve">. </w:t>
      </w:r>
      <w:r w:rsidR="009B2650">
        <w:t xml:space="preserve">Denna </w:t>
      </w:r>
      <w:r>
        <w:t xml:space="preserve">har förbättrats under 2023 utifrån nytt underlag från IPCC. Man har också valt att exkludera de allra största industrierna utifrån att de bör allokeras, ansvaras av en gemensam nationell budget. Budgeten utgår från utsläppsstatistik </w:t>
      </w:r>
      <w:r w:rsidR="009C4741">
        <w:t>från</w:t>
      </w:r>
      <w:r>
        <w:t xml:space="preserve"> nationella emissionsdatabasen samt utrikes transporter. Trollhättans budget beräknas utifrån våra utsläpp i förhållande till Västra Götalands utsläpp år 2021. I diagram 1 visas detta.</w:t>
      </w:r>
    </w:p>
    <w:p w14:paraId="26F8368F" w14:textId="77BC6BB7" w:rsidR="009C4741" w:rsidRDefault="004E4A9D" w:rsidP="004E4A9D">
      <w:r>
        <w:t>Med en koldioxidbudget har vi en definierad mängd koldioxid som ”ryms” i atmosfären utan att klimatet skenar. Begränsar vi utsläppen idag kan vi fortsätta släppa ut små mängder många år framåt men gör vi för små utsläppsminskningar spräcks budgeten snabbare, vilket illustreras i diagram 2 och 3.</w:t>
      </w:r>
    </w:p>
    <w:p w14:paraId="73584784" w14:textId="567AB972" w:rsidR="007D759A" w:rsidRDefault="007D759A" w:rsidP="004E4A9D">
      <w:r>
        <w:rPr>
          <w:noProof/>
        </w:rPr>
        <w:lastRenderedPageBreak/>
        <w:drawing>
          <wp:inline distT="0" distB="0" distL="0" distR="0" wp14:anchorId="3D2940F3" wp14:editId="6FFCFAE9">
            <wp:extent cx="4859655" cy="2689107"/>
            <wp:effectExtent l="0" t="0" r="0" b="0"/>
            <wp:docPr id="2" name="Bildobjekt 2" descr="Två diagram som visar tre utsläppscenarion som är inom koldioxidbudgetn. 1. Att vi minskar 15% från och med 2024, 2. Att vi minskar 30 % per år från 2027, 3. Att vi inte minskar och då är budgeten slut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Två diagram som visar tre utsläppscenarion som är inom koldioxidbudgetn. 1. Att vi minskar 15% från och med 2024, 2. Att vi minskar 30 % per år från 2027, 3. Att vi inte minskar och då är budgeten slut 203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59655" cy="2689107"/>
                    </a:xfrm>
                    <a:prstGeom prst="rect">
                      <a:avLst/>
                    </a:prstGeom>
                  </pic:spPr>
                </pic:pic>
              </a:graphicData>
            </a:graphic>
          </wp:inline>
        </w:drawing>
      </w:r>
    </w:p>
    <w:p w14:paraId="5AD81154" w14:textId="77777777" w:rsidR="00D603A0" w:rsidRDefault="004E4A9D" w:rsidP="004E4A9D">
      <w:pPr>
        <w:rPr>
          <w:i/>
          <w:iCs/>
        </w:rPr>
      </w:pPr>
      <w:r w:rsidRPr="004E4A9D">
        <w:rPr>
          <w:i/>
          <w:iCs/>
        </w:rPr>
        <w:t>Diagram</w:t>
      </w:r>
      <w:r w:rsidR="007D759A">
        <w:rPr>
          <w:i/>
          <w:iCs/>
        </w:rPr>
        <w:t xml:space="preserve"> 2 och</w:t>
      </w:r>
      <w:r w:rsidRPr="004E4A9D">
        <w:rPr>
          <w:i/>
          <w:iCs/>
        </w:rPr>
        <w:t xml:space="preserve"> 3: </w:t>
      </w:r>
      <w:r w:rsidR="007D759A">
        <w:rPr>
          <w:i/>
          <w:iCs/>
        </w:rPr>
        <w:t>Visar hur länge koldioxidbudgeten räcker i tre olika scenarion.</w:t>
      </w:r>
    </w:p>
    <w:p w14:paraId="5325AFA2" w14:textId="311AC72C" w:rsidR="004E4A9D" w:rsidRPr="00AD6AFD" w:rsidRDefault="004E4A9D" w:rsidP="004E4A9D">
      <w:r w:rsidRPr="00AD6AFD">
        <w:t xml:space="preserve">Den nationella emissionsdatabasen samlar de utsläpp som fysiskt uppkommer inom ett visst område, ner på kommunnivå. Allt inrikesflyg samt utrikesflyg under 1000 m hänförs också geografiskt, alltså längs deras flygbana. Utrikes transporter kan förenklat förklaras som transporter på internationellt vatten eller internationella flygresor över 1000 m. </w:t>
      </w:r>
    </w:p>
    <w:p w14:paraId="5057CB79" w14:textId="72A6FA62" w:rsidR="004E4A9D" w:rsidRDefault="009C4741" w:rsidP="009B2650">
      <w:pPr>
        <w:pStyle w:val="Rubrik1"/>
      </w:pPr>
      <w:bookmarkStart w:id="4" w:name="_Toc155788945"/>
      <w:r>
        <w:t>Växthusgasutsläpp utifrån källa</w:t>
      </w:r>
      <w:bookmarkEnd w:id="4"/>
    </w:p>
    <w:p w14:paraId="0FAE8D83" w14:textId="21C4009B" w:rsidR="00113B11" w:rsidRDefault="009B2650" w:rsidP="00113B11">
      <w:r>
        <w:t>I detta avsnitt presenteras utsläpp av växthusgaser utifrån olika</w:t>
      </w:r>
      <w:r w:rsidR="004A27AD">
        <w:t xml:space="preserve"> källor eller sektorer som det kallas</w:t>
      </w:r>
      <w:r>
        <w:t>. All data är från nationella emissionsdatabasen, daterat 2023-06-26.</w:t>
      </w:r>
      <w:r w:rsidR="0006288D">
        <w:t xml:space="preserve"> Eftersom det är 1,5 års eftersläpning i </w:t>
      </w:r>
      <w:r w:rsidR="006F1A0C">
        <w:t xml:space="preserve">den regionala statistiken är den senaste </w:t>
      </w:r>
      <w:proofErr w:type="spellStart"/>
      <w:r w:rsidR="006F1A0C">
        <w:t>utsläppsdatan</w:t>
      </w:r>
      <w:proofErr w:type="spellEnd"/>
      <w:r w:rsidR="006F1A0C">
        <w:t xml:space="preserve"> från 2021. </w:t>
      </w:r>
      <w:proofErr w:type="spellStart"/>
      <w:r>
        <w:t>Datan</w:t>
      </w:r>
      <w:proofErr w:type="spellEnd"/>
      <w:r>
        <w:t xml:space="preserve"> visar utsläppen som sker i det geografiska området för Trollhättan kommun. Utrikes transporter som är med i koldioxidbudgeten syns inte här. Däremot är andra växthusgaser som metan och lustgas inkluderade.</w:t>
      </w:r>
      <w:r w:rsidR="00113B11">
        <w:t xml:space="preserve"> </w:t>
      </w:r>
    </w:p>
    <w:p w14:paraId="3EAA5319" w14:textId="5CCFA43A" w:rsidR="00113B11" w:rsidRDefault="00113B11" w:rsidP="00113B11">
      <w:r>
        <w:t xml:space="preserve">I diagram 4 visas alla växthusgasutsläpp över tid och i diagram 5 visas år 2021 mer i detalj. På 1990-talet fanns det betydande utsläpp från både industrin samt uppvärmning av bostäder och lokaler, utsläpp som nästan helt upphört under 2010-talet. </w:t>
      </w:r>
      <w:r w:rsidR="002C4425">
        <w:t>En minskning från 323 200 ton CO</w:t>
      </w:r>
      <w:r w:rsidR="002C4425" w:rsidRPr="00890339">
        <w:rPr>
          <w:vertAlign w:val="subscript"/>
        </w:rPr>
        <w:t>2</w:t>
      </w:r>
      <w:r w:rsidR="002C4425">
        <w:t>e till 114 300 ton CO</w:t>
      </w:r>
      <w:r w:rsidR="002C4425" w:rsidRPr="00890339">
        <w:rPr>
          <w:vertAlign w:val="subscript"/>
        </w:rPr>
        <w:t>2</w:t>
      </w:r>
      <w:r w:rsidR="002C4425">
        <w:t xml:space="preserve">e. </w:t>
      </w:r>
      <w:r>
        <w:t xml:space="preserve">Transporter har under samma tid minskat marginellt. </w:t>
      </w:r>
      <w:r w:rsidR="0006288D">
        <w:t xml:space="preserve">Den tydligt </w:t>
      </w:r>
      <w:r>
        <w:t xml:space="preserve">största utsläppskällan </w:t>
      </w:r>
      <w:r w:rsidR="0006288D">
        <w:t xml:space="preserve">idag är </w:t>
      </w:r>
      <w:r>
        <w:t xml:space="preserve">transporter </w:t>
      </w:r>
      <w:r w:rsidR="0006288D">
        <w:t xml:space="preserve">som står för 62 900 </w:t>
      </w:r>
      <w:r w:rsidR="002C4425">
        <w:t xml:space="preserve">ton </w:t>
      </w:r>
      <w:r w:rsidR="0006288D">
        <w:t>CO</w:t>
      </w:r>
      <w:r w:rsidR="0006288D" w:rsidRPr="00890339">
        <w:rPr>
          <w:vertAlign w:val="subscript"/>
        </w:rPr>
        <w:t>2</w:t>
      </w:r>
      <w:r w:rsidR="0006288D">
        <w:t xml:space="preserve">e </w:t>
      </w:r>
      <w:r>
        <w:t>och därefter kommer arbetsmaskiner på 11</w:t>
      </w:r>
      <w:r w:rsidR="002C4425">
        <w:t> 300 ton</w:t>
      </w:r>
      <w:r>
        <w:t xml:space="preserve"> </w:t>
      </w:r>
      <w:r w:rsidR="0006288D">
        <w:t>CO</w:t>
      </w:r>
      <w:r w:rsidR="0006288D" w:rsidRPr="00890339">
        <w:rPr>
          <w:vertAlign w:val="subscript"/>
        </w:rPr>
        <w:t>2</w:t>
      </w:r>
      <w:r w:rsidR="0006288D">
        <w:t>e</w:t>
      </w:r>
      <w:r>
        <w:t xml:space="preserve"> och jordbruk 14</w:t>
      </w:r>
      <w:r w:rsidR="002C4425">
        <w:t> 300 ton</w:t>
      </w:r>
      <w:r>
        <w:t xml:space="preserve"> </w:t>
      </w:r>
      <w:r w:rsidR="0006288D">
        <w:t>CO</w:t>
      </w:r>
      <w:r w:rsidR="0006288D" w:rsidRPr="00890339">
        <w:rPr>
          <w:vertAlign w:val="subscript"/>
        </w:rPr>
        <w:t>2</w:t>
      </w:r>
      <w:r w:rsidR="0006288D">
        <w:t>e</w:t>
      </w:r>
      <w:r>
        <w:t xml:space="preserve"> (2021). Dessa tre utsläppskällor fördjupas </w:t>
      </w:r>
      <w:r w:rsidR="006F1A0C">
        <w:t>här</w:t>
      </w:r>
      <w:r>
        <w:t>.</w:t>
      </w:r>
    </w:p>
    <w:p w14:paraId="6DE58900" w14:textId="020B5422" w:rsidR="009B2650" w:rsidRDefault="009B2650" w:rsidP="009B2650">
      <w:r>
        <w:rPr>
          <w:noProof/>
        </w:rPr>
        <w:lastRenderedPageBreak/>
        <w:drawing>
          <wp:inline distT="0" distB="0" distL="0" distR="0" wp14:anchorId="1BB9EE1A" wp14:editId="12A40E97">
            <wp:extent cx="4859655" cy="2673927"/>
            <wp:effectExtent l="0" t="0" r="17145" b="12700"/>
            <wp:docPr id="4" name="Diagram 4" descr="Diagram som visar växthusgasutsläppen i Trollhättan från 1990 (320000 ton CO2e) till 2021 (114000 ton CO2e)."/>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7A756E0" w14:textId="35EBB939" w:rsidR="002B5CA9" w:rsidRDefault="002B5CA9" w:rsidP="009B2650">
      <w:pPr>
        <w:rPr>
          <w:i/>
          <w:iCs/>
        </w:rPr>
      </w:pPr>
      <w:r w:rsidRPr="00113B11">
        <w:rPr>
          <w:i/>
          <w:iCs/>
        </w:rPr>
        <w:t xml:space="preserve">Diagram </w:t>
      </w:r>
      <w:r w:rsidRPr="00113B11">
        <w:rPr>
          <w:i/>
          <w:iCs/>
        </w:rPr>
        <w:fldChar w:fldCharType="begin"/>
      </w:r>
      <w:r w:rsidRPr="00113B11">
        <w:rPr>
          <w:i/>
          <w:iCs/>
        </w:rPr>
        <w:instrText xml:space="preserve"> SEQ Diagram \* ARABIC </w:instrText>
      </w:r>
      <w:r w:rsidRPr="00113B11">
        <w:rPr>
          <w:i/>
          <w:iCs/>
        </w:rPr>
        <w:fldChar w:fldCharType="separate"/>
      </w:r>
      <w:r w:rsidRPr="00113B11">
        <w:rPr>
          <w:i/>
          <w:iCs/>
          <w:noProof/>
        </w:rPr>
        <w:t>4</w:t>
      </w:r>
      <w:r w:rsidRPr="00113B11">
        <w:rPr>
          <w:i/>
          <w:iCs/>
          <w:noProof/>
        </w:rPr>
        <w:fldChar w:fldCharType="end"/>
      </w:r>
      <w:r w:rsidRPr="00113B11">
        <w:rPr>
          <w:i/>
          <w:iCs/>
        </w:rPr>
        <w:t>: Territoriella växthusgasutsläpp i Trollhättans kommun uppdelat på källa.</w:t>
      </w:r>
    </w:p>
    <w:p w14:paraId="67A9353C" w14:textId="7F8BC6B6" w:rsidR="00C378A9" w:rsidRDefault="00C378A9" w:rsidP="009B2650">
      <w:pPr>
        <w:rPr>
          <w:i/>
          <w:iCs/>
        </w:rPr>
      </w:pPr>
      <w:r>
        <w:rPr>
          <w:i/>
          <w:iCs/>
          <w:noProof/>
        </w:rPr>
        <w:drawing>
          <wp:inline distT="0" distB="0" distL="0" distR="0" wp14:anchorId="3053379E" wp14:editId="748BF0FB">
            <wp:extent cx="4859655" cy="2834640"/>
            <wp:effectExtent l="0" t="0" r="17145" b="3810"/>
            <wp:docPr id="6" name="Diagram 6" descr="Tårtdiagram som visar fördelningen av växthusgasutsläppen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69ACC77" w14:textId="19005A15" w:rsidR="00C378A9" w:rsidRDefault="00C378A9" w:rsidP="009B2650">
      <w:pPr>
        <w:rPr>
          <w:i/>
          <w:iCs/>
        </w:rPr>
      </w:pPr>
      <w:r w:rsidRPr="00C378A9">
        <w:rPr>
          <w:i/>
          <w:iCs/>
        </w:rPr>
        <w:t xml:space="preserve">Diagram 5: Utsläpp 2021, fördelning över </w:t>
      </w:r>
      <w:r>
        <w:rPr>
          <w:i/>
          <w:iCs/>
        </w:rPr>
        <w:t>källor</w:t>
      </w:r>
    </w:p>
    <w:p w14:paraId="5733D4C7" w14:textId="77777777" w:rsidR="006F1A0C" w:rsidRDefault="006F1A0C" w:rsidP="006F1A0C">
      <w:pPr>
        <w:pStyle w:val="Rubrik2"/>
      </w:pPr>
      <w:bookmarkStart w:id="5" w:name="_Toc155788946"/>
      <w:r>
        <w:t>Deponier</w:t>
      </w:r>
      <w:bookmarkEnd w:id="5"/>
    </w:p>
    <w:p w14:paraId="7A76B081" w14:textId="2C38BB34" w:rsidR="006F1A0C" w:rsidRDefault="009B39F5" w:rsidP="009B39F5">
      <w:r>
        <w:t>I statistiken är d</w:t>
      </w:r>
      <w:r w:rsidR="006F1A0C">
        <w:t xml:space="preserve">en största källan till metanutsläpp i Trollhättan är våra gamla deponier. Sen år 2002 är det förbjudet att deponera brännbart avfall och alla deponier i Trollhättan är sluttäckta. De fortsätter att läcka metan men i en stadigt minskande takt. Det sker insamling av metan i den omfattning som är teknisk </w:t>
      </w:r>
      <w:r w:rsidR="005D5498">
        <w:t>och ekonomiskt möjlig</w:t>
      </w:r>
      <w:r w:rsidR="006F1A0C">
        <w:t>. Då dessa utsläpp är svåra att göra något åt visas utsläppen från deponier endast i diagram 4.</w:t>
      </w:r>
      <w:r>
        <w:t xml:space="preserve"> Dessutom bedöms denna sektor som osäker. I </w:t>
      </w:r>
      <w:r>
        <w:lastRenderedPageBreak/>
        <w:t>kval</w:t>
      </w:r>
      <w:r w:rsidR="005D5498">
        <w:t>i</w:t>
      </w:r>
      <w:r>
        <w:t xml:space="preserve">tetsbeskrivningen </w:t>
      </w:r>
      <w:r w:rsidR="005D5498">
        <w:t>från emissionsdatabasen står det</w:t>
      </w:r>
      <w:r>
        <w:t xml:space="preserve"> </w:t>
      </w:r>
      <w:r w:rsidR="005D5498">
        <w:t>”</w:t>
      </w:r>
      <w:r>
        <w:t>En rimlig kvalitet bedöms kunna uppnås vid användning på länsnivå</w:t>
      </w:r>
      <w:r w:rsidR="005D5498">
        <w:t>”.</w:t>
      </w:r>
      <w:r w:rsidR="002C4425">
        <w:t xml:space="preserve"> </w:t>
      </w:r>
    </w:p>
    <w:p w14:paraId="177296CE" w14:textId="10D3B23B" w:rsidR="002C4425" w:rsidRDefault="002C4425" w:rsidP="009B39F5">
      <w:r>
        <w:t>Exkluderas deponier är växthusgasutsläppen totalt 101 700 ton CO</w:t>
      </w:r>
      <w:r w:rsidRPr="00890339">
        <w:rPr>
          <w:vertAlign w:val="subscript"/>
        </w:rPr>
        <w:t>2</w:t>
      </w:r>
      <w:r>
        <w:t>e 2021.</w:t>
      </w:r>
    </w:p>
    <w:p w14:paraId="48A268E4" w14:textId="220C37AF" w:rsidR="00C378A9" w:rsidRDefault="00C378A9" w:rsidP="00C378A9">
      <w:pPr>
        <w:pStyle w:val="Rubrik2"/>
      </w:pPr>
      <w:bookmarkStart w:id="6" w:name="_Toc155788947"/>
      <w:r>
        <w:t>Transporter</w:t>
      </w:r>
      <w:bookmarkEnd w:id="6"/>
    </w:p>
    <w:p w14:paraId="49C10845" w14:textId="67CDDE0D" w:rsidR="00C378A9" w:rsidRDefault="00C378A9" w:rsidP="00C378A9">
      <w:r w:rsidRPr="007A17D4">
        <w:t xml:space="preserve">Diagram 6 visar vilka delar utsläppssektorn </w:t>
      </w:r>
      <w:r w:rsidRPr="007A17D4">
        <w:rPr>
          <w:i/>
          <w:iCs/>
        </w:rPr>
        <w:t>Transporter</w:t>
      </w:r>
      <w:r w:rsidRPr="007A17D4">
        <w:t xml:space="preserve"> innefattar. Tydligt är att personbilar är det absolut största utsläppskällan i Trollhättan med </w:t>
      </w:r>
      <w:r w:rsidR="00890339">
        <w:t>44 700 ton CO</w:t>
      </w:r>
      <w:r w:rsidR="00890339" w:rsidRPr="00890339">
        <w:rPr>
          <w:vertAlign w:val="subscript"/>
        </w:rPr>
        <w:t>2</w:t>
      </w:r>
      <w:r w:rsidR="00890339">
        <w:t>e av transportsektorns totala 62 900 ton CO</w:t>
      </w:r>
      <w:r w:rsidR="00890339" w:rsidRPr="00890339">
        <w:rPr>
          <w:vertAlign w:val="subscript"/>
        </w:rPr>
        <w:t>2</w:t>
      </w:r>
      <w:r w:rsidR="00890339">
        <w:t>e</w:t>
      </w:r>
      <w:r w:rsidRPr="007A17D4">
        <w:t>.</w:t>
      </w:r>
      <w:r w:rsidR="00890339">
        <w:t xml:space="preserve"> Tunga lastbilar står för 10 600</w:t>
      </w:r>
      <w:r w:rsidR="00890339" w:rsidRPr="00890339">
        <w:t xml:space="preserve"> </w:t>
      </w:r>
      <w:r w:rsidR="00890339">
        <w:t>ton CO</w:t>
      </w:r>
      <w:r w:rsidR="00890339" w:rsidRPr="00890339">
        <w:rPr>
          <w:vertAlign w:val="subscript"/>
        </w:rPr>
        <w:t>2</w:t>
      </w:r>
      <w:r w:rsidR="00890339">
        <w:t>e och lätta lastbilar 6</w:t>
      </w:r>
      <w:r w:rsidR="006F1A0C">
        <w:t xml:space="preserve"> 600 </w:t>
      </w:r>
      <w:r w:rsidR="00890339">
        <w:t>ton CO</w:t>
      </w:r>
      <w:r w:rsidR="00890339" w:rsidRPr="00890339">
        <w:rPr>
          <w:vertAlign w:val="subscript"/>
        </w:rPr>
        <w:t>2</w:t>
      </w:r>
      <w:r w:rsidR="00890339">
        <w:t>e.</w:t>
      </w:r>
      <w:r w:rsidR="00A45F12">
        <w:t xml:space="preserve"> Eftersom detta är från 2021 så innefattar detta pandemi-effekter och vi kommer troligen se en mindre ökning för 2022 och 2023.</w:t>
      </w:r>
    </w:p>
    <w:p w14:paraId="3D865CC1" w14:textId="1FF93B1E" w:rsidR="00C378A9" w:rsidRDefault="00C378A9" w:rsidP="00C378A9">
      <w:r>
        <w:t>Jämfört med andra utsläppsområden så har Transporter minskat marginellt över de 30 år vi kan följa utsläppen.</w:t>
      </w:r>
      <w:r w:rsidR="008C70D4">
        <w:t xml:space="preserve"> Även om bilar drar mindre bränsle idag än 1990 så kör vi mer bil och har tyngre bilar. Dessutom så är det omöjligt att minska utsläppen till den nivå det behöver vara 2030 genom enbart effektivare fordon när bränslet är till största delen fossil.</w:t>
      </w:r>
    </w:p>
    <w:p w14:paraId="375DAD37" w14:textId="38093D2D" w:rsidR="008C70D4" w:rsidRDefault="008C70D4" w:rsidP="00C378A9">
      <w:r>
        <w:rPr>
          <w:noProof/>
        </w:rPr>
        <w:drawing>
          <wp:inline distT="0" distB="0" distL="0" distR="0" wp14:anchorId="7CD51350" wp14:editId="4F98F2B1">
            <wp:extent cx="4859655" cy="2834595"/>
            <wp:effectExtent l="0" t="0" r="17145" b="4445"/>
            <wp:docPr id="237" name="Diagram 237" descr="Tårtdiagram som visar utsläppen från olika transporter, personbilar är störst 44 % , sen tunga lastbilar 10 %, lätta lastbilar, bussar, mopeder, MC och övrigt är mindre."/>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AD39E6B" w14:textId="77777777" w:rsidR="009E3C16" w:rsidRDefault="008C70D4" w:rsidP="009E3C16">
      <w:pPr>
        <w:rPr>
          <w:i/>
          <w:iCs/>
        </w:rPr>
      </w:pPr>
      <w:r w:rsidRPr="008C70D4">
        <w:rPr>
          <w:i/>
          <w:iCs/>
        </w:rPr>
        <w:t>Diagram 6: Utsläppen från transporter, ton koldioxidekvivalenter, 2021.</w:t>
      </w:r>
      <w:r w:rsidR="009E3C16">
        <w:rPr>
          <w:i/>
          <w:iCs/>
        </w:rPr>
        <w:t xml:space="preserve"> Procentsatser i förhållande till alla utsläpp, jämför med diagram 5.</w:t>
      </w:r>
    </w:p>
    <w:p w14:paraId="11FA3796" w14:textId="636C1F2C" w:rsidR="00E13823" w:rsidRDefault="00052DAD" w:rsidP="00C378A9">
      <w:r w:rsidRPr="00052DAD">
        <w:t xml:space="preserve">En </w:t>
      </w:r>
      <w:r>
        <w:t xml:space="preserve">tydlig trend är ökningen av elbilar. I Trollhättan har det sen många år också funnits större andel gasbilar än i andelen i hela landet. </w:t>
      </w:r>
      <w:r w:rsidR="00E13823">
        <w:t>I tabell 1</w:t>
      </w:r>
      <w:r>
        <w:t xml:space="preserve"> nedan visa</w:t>
      </w:r>
      <w:r w:rsidR="00E13823">
        <w:t>s</w:t>
      </w:r>
      <w:r>
        <w:t xml:space="preserve"> a</w:t>
      </w:r>
      <w:r w:rsidR="006F1A0C">
        <w:t>lla</w:t>
      </w:r>
      <w:r>
        <w:t xml:space="preserve"> </w:t>
      </w:r>
      <w:r w:rsidR="006F1A0C">
        <w:t>personbilar</w:t>
      </w:r>
      <w:r>
        <w:t xml:space="preserve"> registrerade på invånare eller företag i Trollhättan</w:t>
      </w:r>
      <w:r w:rsidR="006F1A0C">
        <w:t xml:space="preserve"> 2022</w:t>
      </w:r>
      <w:r>
        <w:t xml:space="preserve">, </w:t>
      </w:r>
      <w:r w:rsidR="006F1A0C">
        <w:t>samt nyregistrerade personbilar 2023</w:t>
      </w:r>
      <w:r>
        <w:t xml:space="preserve">. Inom parentes </w:t>
      </w:r>
      <w:r w:rsidR="00E13823">
        <w:t>visas procent</w:t>
      </w:r>
      <w:r>
        <w:t>andelen</w:t>
      </w:r>
      <w:r w:rsidR="006F1A0C">
        <w:t xml:space="preserve"> för varje drivmedelsslag</w:t>
      </w:r>
      <w:r>
        <w:t>.</w:t>
      </w:r>
      <w:r w:rsidR="001516E0">
        <w:t xml:space="preserve"> I diagram 7 visas elbilsutvecklingen i Trollhättan. Observera att vissa företagsbilar eller </w:t>
      </w:r>
      <w:proofErr w:type="gramStart"/>
      <w:r w:rsidR="001516E0">
        <w:t>leasade</w:t>
      </w:r>
      <w:proofErr w:type="gramEnd"/>
      <w:r w:rsidR="001516E0">
        <w:t xml:space="preserve"> bilar kan vara skrivna på annan ort än där de används.</w:t>
      </w:r>
    </w:p>
    <w:tbl>
      <w:tblPr>
        <w:tblStyle w:val="Rutntstabell2dekorfrg6"/>
        <w:tblpPr w:leftFromText="141" w:rightFromText="141" w:vertAnchor="page" w:horzAnchor="margin" w:tblpY="2804"/>
        <w:tblW w:w="0" w:type="auto"/>
        <w:tblLook w:val="04A0" w:firstRow="1" w:lastRow="0" w:firstColumn="1" w:lastColumn="0" w:noHBand="0" w:noVBand="1"/>
      </w:tblPr>
      <w:tblGrid>
        <w:gridCol w:w="2268"/>
        <w:gridCol w:w="2827"/>
        <w:gridCol w:w="2548"/>
      </w:tblGrid>
      <w:tr w:rsidR="00524F0A" w14:paraId="77F8614F" w14:textId="77777777" w:rsidTr="006F1A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62044C8" w14:textId="77777777" w:rsidR="00524F0A" w:rsidRDefault="00524F0A" w:rsidP="006F1A0C">
            <w:r>
              <w:lastRenderedPageBreak/>
              <w:t>Drivmedel</w:t>
            </w:r>
          </w:p>
        </w:tc>
        <w:tc>
          <w:tcPr>
            <w:tcW w:w="2827" w:type="dxa"/>
          </w:tcPr>
          <w:p w14:paraId="4EFBAE6E" w14:textId="46C8B312" w:rsidR="00524F0A" w:rsidRDefault="00524F0A" w:rsidP="006F1A0C">
            <w:pPr>
              <w:cnfStyle w:val="100000000000" w:firstRow="1" w:lastRow="0" w:firstColumn="0" w:lastColumn="0" w:oddVBand="0" w:evenVBand="0" w:oddHBand="0" w:evenHBand="0" w:firstRowFirstColumn="0" w:firstRowLastColumn="0" w:lastRowFirstColumn="0" w:lastRowLastColumn="0"/>
            </w:pPr>
            <w:r>
              <w:t xml:space="preserve">Hela </w:t>
            </w:r>
            <w:r w:rsidR="006F1A0C">
              <w:t>personbils</w:t>
            </w:r>
            <w:r>
              <w:t>flottan 2022</w:t>
            </w:r>
          </w:p>
        </w:tc>
        <w:tc>
          <w:tcPr>
            <w:tcW w:w="2548" w:type="dxa"/>
          </w:tcPr>
          <w:p w14:paraId="285FA2E1" w14:textId="77777777" w:rsidR="00524F0A" w:rsidRDefault="00524F0A" w:rsidP="006F1A0C">
            <w:pPr>
              <w:cnfStyle w:val="100000000000" w:firstRow="1" w:lastRow="0" w:firstColumn="0" w:lastColumn="0" w:oddVBand="0" w:evenVBand="0" w:oddHBand="0" w:evenHBand="0" w:firstRowFirstColumn="0" w:firstRowLastColumn="0" w:lastRowFirstColumn="0" w:lastRowLastColumn="0"/>
            </w:pPr>
            <w:r>
              <w:t>Nyregistrerade bilar 2023</w:t>
            </w:r>
          </w:p>
        </w:tc>
      </w:tr>
      <w:tr w:rsidR="00524F0A" w14:paraId="041FD6DE" w14:textId="77777777" w:rsidTr="006F1A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EBA1029" w14:textId="77777777" w:rsidR="00524F0A" w:rsidRPr="00052DAD" w:rsidRDefault="00524F0A" w:rsidP="006F1A0C">
            <w:pPr>
              <w:rPr>
                <w:b w:val="0"/>
                <w:bCs w:val="0"/>
              </w:rPr>
            </w:pPr>
            <w:r>
              <w:t>Bensin</w:t>
            </w:r>
          </w:p>
        </w:tc>
        <w:tc>
          <w:tcPr>
            <w:tcW w:w="2827" w:type="dxa"/>
          </w:tcPr>
          <w:p w14:paraId="130A9D22" w14:textId="77777777" w:rsidR="00524F0A" w:rsidRDefault="00524F0A" w:rsidP="006F1A0C">
            <w:pPr>
              <w:cnfStyle w:val="000000100000" w:firstRow="0" w:lastRow="0" w:firstColumn="0" w:lastColumn="0" w:oddVBand="0" w:evenVBand="0" w:oddHBand="1" w:evenHBand="0" w:firstRowFirstColumn="0" w:firstRowLastColumn="0" w:lastRowFirstColumn="0" w:lastRowLastColumn="0"/>
            </w:pPr>
            <w:r>
              <w:t>14 107 (50 %)</w:t>
            </w:r>
          </w:p>
        </w:tc>
        <w:tc>
          <w:tcPr>
            <w:tcW w:w="2548" w:type="dxa"/>
          </w:tcPr>
          <w:p w14:paraId="193AE996" w14:textId="77777777" w:rsidR="00524F0A" w:rsidRDefault="00524F0A" w:rsidP="006F1A0C">
            <w:pPr>
              <w:cnfStyle w:val="000000100000" w:firstRow="0" w:lastRow="0" w:firstColumn="0" w:lastColumn="0" w:oddVBand="0" w:evenVBand="0" w:oddHBand="1" w:evenHBand="0" w:firstRowFirstColumn="0" w:firstRowLastColumn="0" w:lastRowFirstColumn="0" w:lastRowLastColumn="0"/>
            </w:pPr>
            <w:r>
              <w:t>251 (17 %)</w:t>
            </w:r>
          </w:p>
        </w:tc>
      </w:tr>
      <w:tr w:rsidR="00524F0A" w14:paraId="3FDD125B" w14:textId="77777777" w:rsidTr="006F1A0C">
        <w:tc>
          <w:tcPr>
            <w:cnfStyle w:val="001000000000" w:firstRow="0" w:lastRow="0" w:firstColumn="1" w:lastColumn="0" w:oddVBand="0" w:evenVBand="0" w:oddHBand="0" w:evenHBand="0" w:firstRowFirstColumn="0" w:firstRowLastColumn="0" w:lastRowFirstColumn="0" w:lastRowLastColumn="0"/>
            <w:tcW w:w="2268" w:type="dxa"/>
          </w:tcPr>
          <w:p w14:paraId="5482BF0A" w14:textId="77777777" w:rsidR="00524F0A" w:rsidRDefault="00524F0A" w:rsidP="006F1A0C">
            <w:r>
              <w:t>Diesel</w:t>
            </w:r>
          </w:p>
        </w:tc>
        <w:tc>
          <w:tcPr>
            <w:tcW w:w="2827" w:type="dxa"/>
          </w:tcPr>
          <w:p w14:paraId="36E7CBE8" w14:textId="77777777" w:rsidR="00524F0A" w:rsidRDefault="00524F0A" w:rsidP="006F1A0C">
            <w:pPr>
              <w:cnfStyle w:val="000000000000" w:firstRow="0" w:lastRow="0" w:firstColumn="0" w:lastColumn="0" w:oddVBand="0" w:evenVBand="0" w:oddHBand="0" w:evenHBand="0" w:firstRowFirstColumn="0" w:firstRowLastColumn="0" w:lastRowFirstColumn="0" w:lastRowLastColumn="0"/>
            </w:pPr>
            <w:r>
              <w:t>8 807 (31 %)</w:t>
            </w:r>
          </w:p>
        </w:tc>
        <w:tc>
          <w:tcPr>
            <w:tcW w:w="2548" w:type="dxa"/>
          </w:tcPr>
          <w:p w14:paraId="758664FC" w14:textId="77777777" w:rsidR="00524F0A" w:rsidRDefault="00524F0A" w:rsidP="006F1A0C">
            <w:pPr>
              <w:cnfStyle w:val="000000000000" w:firstRow="0" w:lastRow="0" w:firstColumn="0" w:lastColumn="0" w:oddVBand="0" w:evenVBand="0" w:oddHBand="0" w:evenHBand="0" w:firstRowFirstColumn="0" w:firstRowLastColumn="0" w:lastRowFirstColumn="0" w:lastRowLastColumn="0"/>
            </w:pPr>
            <w:r>
              <w:t>80 (6 %)</w:t>
            </w:r>
          </w:p>
        </w:tc>
      </w:tr>
      <w:tr w:rsidR="00524F0A" w14:paraId="3672B015" w14:textId="77777777" w:rsidTr="006F1A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F15FBD0" w14:textId="77777777" w:rsidR="00524F0A" w:rsidRDefault="00524F0A" w:rsidP="006F1A0C">
            <w:r>
              <w:t>El</w:t>
            </w:r>
          </w:p>
        </w:tc>
        <w:tc>
          <w:tcPr>
            <w:tcW w:w="2827" w:type="dxa"/>
          </w:tcPr>
          <w:p w14:paraId="296A0A5E" w14:textId="77777777" w:rsidR="00524F0A" w:rsidRDefault="00524F0A" w:rsidP="006F1A0C">
            <w:pPr>
              <w:cnfStyle w:val="000000100000" w:firstRow="0" w:lastRow="0" w:firstColumn="0" w:lastColumn="0" w:oddVBand="0" w:evenVBand="0" w:oddHBand="1" w:evenHBand="0" w:firstRowFirstColumn="0" w:firstRowLastColumn="0" w:lastRowFirstColumn="0" w:lastRowLastColumn="0"/>
            </w:pPr>
            <w:r>
              <w:t>1 266 (4 %)</w:t>
            </w:r>
          </w:p>
        </w:tc>
        <w:tc>
          <w:tcPr>
            <w:tcW w:w="2548" w:type="dxa"/>
          </w:tcPr>
          <w:p w14:paraId="641C8DA4" w14:textId="77777777" w:rsidR="00524F0A" w:rsidRDefault="00524F0A" w:rsidP="006F1A0C">
            <w:pPr>
              <w:cnfStyle w:val="000000100000" w:firstRow="0" w:lastRow="0" w:firstColumn="0" w:lastColumn="0" w:oddVBand="0" w:evenVBand="0" w:oddHBand="1" w:evenHBand="0" w:firstRowFirstColumn="0" w:firstRowLastColumn="0" w:lastRowFirstColumn="0" w:lastRowLastColumn="0"/>
            </w:pPr>
            <w:r>
              <w:t>650 (45 %)</w:t>
            </w:r>
          </w:p>
        </w:tc>
      </w:tr>
      <w:tr w:rsidR="00524F0A" w14:paraId="16CFBFA8" w14:textId="77777777" w:rsidTr="006F1A0C">
        <w:tc>
          <w:tcPr>
            <w:cnfStyle w:val="001000000000" w:firstRow="0" w:lastRow="0" w:firstColumn="1" w:lastColumn="0" w:oddVBand="0" w:evenVBand="0" w:oddHBand="0" w:evenHBand="0" w:firstRowFirstColumn="0" w:firstRowLastColumn="0" w:lastRowFirstColumn="0" w:lastRowLastColumn="0"/>
            <w:tcW w:w="2268" w:type="dxa"/>
          </w:tcPr>
          <w:p w14:paraId="68D9F7DC" w14:textId="77777777" w:rsidR="00524F0A" w:rsidRDefault="00524F0A" w:rsidP="006F1A0C">
            <w:r>
              <w:t>Elhybrider</w:t>
            </w:r>
            <w:r>
              <w:rPr>
                <w:rStyle w:val="Fotnotsreferens"/>
              </w:rPr>
              <w:footnoteReference w:id="1"/>
            </w:r>
          </w:p>
        </w:tc>
        <w:tc>
          <w:tcPr>
            <w:tcW w:w="2827" w:type="dxa"/>
          </w:tcPr>
          <w:p w14:paraId="0D0691C9" w14:textId="77777777" w:rsidR="00524F0A" w:rsidRDefault="00524F0A" w:rsidP="006F1A0C">
            <w:pPr>
              <w:cnfStyle w:val="000000000000" w:firstRow="0" w:lastRow="0" w:firstColumn="0" w:lastColumn="0" w:oddVBand="0" w:evenVBand="0" w:oddHBand="0" w:evenHBand="0" w:firstRowFirstColumn="0" w:firstRowLastColumn="0" w:lastRowFirstColumn="0" w:lastRowLastColumn="0"/>
            </w:pPr>
            <w:r>
              <w:t>824 (3 %)</w:t>
            </w:r>
          </w:p>
        </w:tc>
        <w:tc>
          <w:tcPr>
            <w:tcW w:w="2548" w:type="dxa"/>
          </w:tcPr>
          <w:p w14:paraId="50137DD9" w14:textId="77777777" w:rsidR="00524F0A" w:rsidRDefault="00524F0A" w:rsidP="006F1A0C">
            <w:pPr>
              <w:cnfStyle w:val="000000000000" w:firstRow="0" w:lastRow="0" w:firstColumn="0" w:lastColumn="0" w:oddVBand="0" w:evenVBand="0" w:oddHBand="0" w:evenHBand="0" w:firstRowFirstColumn="0" w:firstRowLastColumn="0" w:lastRowFirstColumn="0" w:lastRowLastColumn="0"/>
            </w:pPr>
            <w:r>
              <w:t>148 (10 %)</w:t>
            </w:r>
          </w:p>
        </w:tc>
      </w:tr>
      <w:tr w:rsidR="00524F0A" w14:paraId="7F9281A2" w14:textId="77777777" w:rsidTr="006F1A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AF850FF" w14:textId="77777777" w:rsidR="00524F0A" w:rsidRDefault="00524F0A" w:rsidP="006F1A0C">
            <w:r>
              <w:t xml:space="preserve">Laddhybrider </w:t>
            </w:r>
          </w:p>
        </w:tc>
        <w:tc>
          <w:tcPr>
            <w:tcW w:w="2827" w:type="dxa"/>
          </w:tcPr>
          <w:p w14:paraId="63480C9E" w14:textId="77777777" w:rsidR="00524F0A" w:rsidRDefault="00524F0A" w:rsidP="006F1A0C">
            <w:pPr>
              <w:cnfStyle w:val="000000100000" w:firstRow="0" w:lastRow="0" w:firstColumn="0" w:lastColumn="0" w:oddVBand="0" w:evenVBand="0" w:oddHBand="1" w:evenHBand="0" w:firstRowFirstColumn="0" w:firstRowLastColumn="0" w:lastRowFirstColumn="0" w:lastRowLastColumn="0"/>
            </w:pPr>
            <w:r>
              <w:t>1 092 (4 %)</w:t>
            </w:r>
          </w:p>
        </w:tc>
        <w:tc>
          <w:tcPr>
            <w:tcW w:w="2548" w:type="dxa"/>
          </w:tcPr>
          <w:p w14:paraId="5E18FC43" w14:textId="77777777" w:rsidR="00524F0A" w:rsidRDefault="00524F0A" w:rsidP="006F1A0C">
            <w:pPr>
              <w:cnfStyle w:val="000000100000" w:firstRow="0" w:lastRow="0" w:firstColumn="0" w:lastColumn="0" w:oddVBand="0" w:evenVBand="0" w:oddHBand="1" w:evenHBand="0" w:firstRowFirstColumn="0" w:firstRowLastColumn="0" w:lastRowFirstColumn="0" w:lastRowLastColumn="0"/>
            </w:pPr>
            <w:r>
              <w:t>295 (20 %)</w:t>
            </w:r>
          </w:p>
        </w:tc>
      </w:tr>
      <w:tr w:rsidR="00524F0A" w14:paraId="156ED51F" w14:textId="77777777" w:rsidTr="006F1A0C">
        <w:tc>
          <w:tcPr>
            <w:cnfStyle w:val="001000000000" w:firstRow="0" w:lastRow="0" w:firstColumn="1" w:lastColumn="0" w:oddVBand="0" w:evenVBand="0" w:oddHBand="0" w:evenHBand="0" w:firstRowFirstColumn="0" w:firstRowLastColumn="0" w:lastRowFirstColumn="0" w:lastRowLastColumn="0"/>
            <w:tcW w:w="2268" w:type="dxa"/>
          </w:tcPr>
          <w:p w14:paraId="32842840" w14:textId="77777777" w:rsidR="00524F0A" w:rsidRDefault="00524F0A" w:rsidP="006F1A0C">
            <w:r>
              <w:t>Etanol</w:t>
            </w:r>
          </w:p>
        </w:tc>
        <w:tc>
          <w:tcPr>
            <w:tcW w:w="2827" w:type="dxa"/>
          </w:tcPr>
          <w:p w14:paraId="1308F798" w14:textId="77777777" w:rsidR="00524F0A" w:rsidRDefault="00524F0A" w:rsidP="006F1A0C">
            <w:pPr>
              <w:cnfStyle w:val="000000000000" w:firstRow="0" w:lastRow="0" w:firstColumn="0" w:lastColumn="0" w:oddVBand="0" w:evenVBand="0" w:oddHBand="0" w:evenHBand="0" w:firstRowFirstColumn="0" w:firstRowLastColumn="0" w:lastRowFirstColumn="0" w:lastRowLastColumn="0"/>
            </w:pPr>
            <w:r>
              <w:t>1 774 (6 %)</w:t>
            </w:r>
          </w:p>
        </w:tc>
        <w:tc>
          <w:tcPr>
            <w:tcW w:w="2548" w:type="dxa"/>
          </w:tcPr>
          <w:p w14:paraId="5A0F3B9D" w14:textId="77777777" w:rsidR="00524F0A" w:rsidRDefault="00524F0A" w:rsidP="006F1A0C">
            <w:pPr>
              <w:cnfStyle w:val="000000000000" w:firstRow="0" w:lastRow="0" w:firstColumn="0" w:lastColumn="0" w:oddVBand="0" w:evenVBand="0" w:oddHBand="0" w:evenHBand="0" w:firstRowFirstColumn="0" w:firstRowLastColumn="0" w:lastRowFirstColumn="0" w:lastRowLastColumn="0"/>
            </w:pPr>
            <w:r>
              <w:t>4 (0,3 %)</w:t>
            </w:r>
          </w:p>
        </w:tc>
      </w:tr>
      <w:tr w:rsidR="00524F0A" w14:paraId="716A0866" w14:textId="77777777" w:rsidTr="006F1A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7F2CCFE" w14:textId="77777777" w:rsidR="00524F0A" w:rsidRDefault="00524F0A" w:rsidP="006F1A0C">
            <w:r>
              <w:t>Gas</w:t>
            </w:r>
          </w:p>
        </w:tc>
        <w:tc>
          <w:tcPr>
            <w:tcW w:w="2827" w:type="dxa"/>
          </w:tcPr>
          <w:p w14:paraId="18AF1819" w14:textId="77777777" w:rsidR="00524F0A" w:rsidRDefault="00524F0A" w:rsidP="006F1A0C">
            <w:pPr>
              <w:cnfStyle w:val="000000100000" w:firstRow="0" w:lastRow="0" w:firstColumn="0" w:lastColumn="0" w:oddVBand="0" w:evenVBand="0" w:oddHBand="1" w:evenHBand="0" w:firstRowFirstColumn="0" w:firstRowLastColumn="0" w:lastRowFirstColumn="0" w:lastRowLastColumn="0"/>
            </w:pPr>
            <w:r>
              <w:t>438 (2 %)</w:t>
            </w:r>
          </w:p>
        </w:tc>
        <w:tc>
          <w:tcPr>
            <w:tcW w:w="2548" w:type="dxa"/>
          </w:tcPr>
          <w:p w14:paraId="103C392C" w14:textId="77777777" w:rsidR="00524F0A" w:rsidRDefault="00524F0A" w:rsidP="006F1A0C">
            <w:pPr>
              <w:cnfStyle w:val="000000100000" w:firstRow="0" w:lastRow="0" w:firstColumn="0" w:lastColumn="0" w:oddVBand="0" w:evenVBand="0" w:oddHBand="1" w:evenHBand="0" w:firstRowFirstColumn="0" w:firstRowLastColumn="0" w:lastRowFirstColumn="0" w:lastRowLastColumn="0"/>
            </w:pPr>
            <w:r>
              <w:t>20 (1 %)</w:t>
            </w:r>
          </w:p>
        </w:tc>
      </w:tr>
      <w:tr w:rsidR="00524F0A" w14:paraId="7667564B" w14:textId="77777777" w:rsidTr="006F1A0C">
        <w:tc>
          <w:tcPr>
            <w:cnfStyle w:val="001000000000" w:firstRow="0" w:lastRow="0" w:firstColumn="1" w:lastColumn="0" w:oddVBand="0" w:evenVBand="0" w:oddHBand="0" w:evenHBand="0" w:firstRowFirstColumn="0" w:firstRowLastColumn="0" w:lastRowFirstColumn="0" w:lastRowLastColumn="0"/>
            <w:tcW w:w="2268" w:type="dxa"/>
          </w:tcPr>
          <w:p w14:paraId="0BD132D6" w14:textId="77777777" w:rsidR="00524F0A" w:rsidRDefault="00524F0A" w:rsidP="006F1A0C">
            <w:r>
              <w:t>Alla</w:t>
            </w:r>
          </w:p>
        </w:tc>
        <w:tc>
          <w:tcPr>
            <w:tcW w:w="2827" w:type="dxa"/>
          </w:tcPr>
          <w:p w14:paraId="7397DFEE" w14:textId="77777777" w:rsidR="00524F0A" w:rsidRDefault="00524F0A" w:rsidP="006F1A0C">
            <w:pPr>
              <w:cnfStyle w:val="000000000000" w:firstRow="0" w:lastRow="0" w:firstColumn="0" w:lastColumn="0" w:oddVBand="0" w:evenVBand="0" w:oddHBand="0" w:evenHBand="0" w:firstRowFirstColumn="0" w:firstRowLastColumn="0" w:lastRowFirstColumn="0" w:lastRowLastColumn="0"/>
            </w:pPr>
            <w:r>
              <w:t>28 308</w:t>
            </w:r>
          </w:p>
        </w:tc>
        <w:tc>
          <w:tcPr>
            <w:tcW w:w="2548" w:type="dxa"/>
          </w:tcPr>
          <w:p w14:paraId="2476A366" w14:textId="6A6F1BD5" w:rsidR="00524F0A" w:rsidRDefault="006F1A0C" w:rsidP="006F1A0C">
            <w:pPr>
              <w:cnfStyle w:val="000000000000" w:firstRow="0" w:lastRow="0" w:firstColumn="0" w:lastColumn="0" w:oddVBand="0" w:evenVBand="0" w:oddHBand="0" w:evenHBand="0" w:firstRowFirstColumn="0" w:firstRowLastColumn="0" w:lastRowFirstColumn="0" w:lastRowLastColumn="0"/>
            </w:pPr>
            <w:r>
              <w:t>1448</w:t>
            </w:r>
          </w:p>
        </w:tc>
      </w:tr>
    </w:tbl>
    <w:p w14:paraId="7158ACFA" w14:textId="77FF5812" w:rsidR="00E13823" w:rsidRDefault="00E13823" w:rsidP="00C378A9">
      <w:pPr>
        <w:rPr>
          <w:i/>
          <w:iCs/>
        </w:rPr>
      </w:pPr>
      <w:r w:rsidRPr="00E13823">
        <w:rPr>
          <w:i/>
          <w:iCs/>
        </w:rPr>
        <w:t>Tabell 1: Personbilar i Trollhättan efter drivmedel. Observera att siffror för hela fordonsflottan är för 2022, siffror för hela fordonsflottan blir offentlig i februari 2024.</w:t>
      </w:r>
    </w:p>
    <w:p w14:paraId="4370165D" w14:textId="043E9EA4" w:rsidR="001516E0" w:rsidRDefault="001516E0" w:rsidP="009E3C16">
      <w:pPr>
        <w:spacing w:after="0"/>
      </w:pPr>
      <w:r>
        <w:rPr>
          <w:noProof/>
        </w:rPr>
        <w:drawing>
          <wp:inline distT="0" distB="0" distL="0" distR="0" wp14:anchorId="7B654EBB" wp14:editId="06288F5E">
            <wp:extent cx="4859655" cy="2479963"/>
            <wp:effectExtent l="0" t="0" r="17145" b="15875"/>
            <wp:docPr id="7" name="Diagram 7" descr="Diagram som visar elbilsutvecklingen 2019 - 2023. Uppdelat på Elbilar och Laddhybri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795AABC" w14:textId="693C6391" w:rsidR="001516E0" w:rsidRPr="00E13823" w:rsidRDefault="001516E0" w:rsidP="00C378A9">
      <w:pPr>
        <w:rPr>
          <w:i/>
          <w:iCs/>
        </w:rPr>
      </w:pPr>
      <w:r w:rsidRPr="00E13823">
        <w:rPr>
          <w:i/>
          <w:iCs/>
        </w:rPr>
        <w:t xml:space="preserve">Diagram 7: Elbilsutvecklingen i Trollhättan. Obs 2023 års siffror är </w:t>
      </w:r>
      <w:r w:rsidR="00E13823" w:rsidRPr="00E13823">
        <w:rPr>
          <w:i/>
          <w:iCs/>
        </w:rPr>
        <w:t>preliminära</w:t>
      </w:r>
      <w:r w:rsidRPr="00E13823">
        <w:rPr>
          <w:i/>
          <w:iCs/>
        </w:rPr>
        <w:t>.</w:t>
      </w:r>
    </w:p>
    <w:p w14:paraId="447989BE" w14:textId="1C84B1CF" w:rsidR="00E13823" w:rsidRDefault="00E13823" w:rsidP="00E13823">
      <w:pPr>
        <w:pStyle w:val="Rubrik2"/>
      </w:pPr>
      <w:bookmarkStart w:id="7" w:name="_Toc155788948"/>
      <w:r>
        <w:t>Arbetsmaskiner</w:t>
      </w:r>
      <w:bookmarkEnd w:id="7"/>
    </w:p>
    <w:p w14:paraId="790CE626" w14:textId="77777777" w:rsidR="00A45F12" w:rsidRDefault="009B39F5" w:rsidP="006A6020">
      <w:r>
        <w:t>Diagram 8 visar utsläppen från arbetsmaskiner. Totalt är det 11 200 ton CO</w:t>
      </w:r>
      <w:r w:rsidRPr="00890339">
        <w:rPr>
          <w:vertAlign w:val="subscript"/>
        </w:rPr>
        <w:t>2</w:t>
      </w:r>
      <w:r>
        <w:t>e som släppets ut</w:t>
      </w:r>
      <w:r w:rsidR="005D5498">
        <w:t xml:space="preserve"> av arbetsmaskiner </w:t>
      </w:r>
      <w:r>
        <w:t>2021</w:t>
      </w:r>
      <w:r w:rsidR="005D5498">
        <w:t xml:space="preserve">. Stor osäkerhet finns i </w:t>
      </w:r>
      <w:proofErr w:type="gramStart"/>
      <w:r w:rsidR="005D5498">
        <w:t>denna sektorn</w:t>
      </w:r>
      <w:proofErr w:type="gramEnd"/>
      <w:r w:rsidR="005D5498">
        <w:t xml:space="preserve"> då exempelvis maskiner i byggsektorn är verksamma på många platser både regionalt och nationellt. Dock är detta ända sektorn där utsläppen ökat sen 2015</w:t>
      </w:r>
      <w:r w:rsidR="00A45F12">
        <w:t xml:space="preserve">. </w:t>
      </w:r>
    </w:p>
    <w:p w14:paraId="29A603F4" w14:textId="2C19E948" w:rsidR="006A6020" w:rsidRDefault="00A45F12" w:rsidP="006A6020">
      <w:r>
        <w:t>Utsläppen i kategorin ”</w:t>
      </w:r>
      <w:r w:rsidRPr="00A45F12">
        <w:t>Kommersiella och offentliga verksamheter</w:t>
      </w:r>
      <w:r>
        <w:t>” och ”Hushållens arbetsmaskiner” är i huvudsak gräsklippare och andra trädgårdsmaskiner, eftersom detta är de territoriella utsläppen så handlar det om maskiner som har en förbränningsmotor. Exempelvis borde en ökande andel robotgräsklippare påverka utsläppen.</w:t>
      </w:r>
    </w:p>
    <w:p w14:paraId="1FA03F52" w14:textId="01EB7361" w:rsidR="006A6020" w:rsidRDefault="00524F0A" w:rsidP="009E3C16">
      <w:pPr>
        <w:spacing w:after="0"/>
      </w:pPr>
      <w:r>
        <w:rPr>
          <w:noProof/>
        </w:rPr>
        <w:lastRenderedPageBreak/>
        <w:drawing>
          <wp:inline distT="0" distB="0" distL="0" distR="0" wp14:anchorId="50E0C429" wp14:editId="47233589">
            <wp:extent cx="4860000" cy="2920156"/>
            <wp:effectExtent l="19050" t="19050" r="17145" b="13970"/>
            <wp:docPr id="5" name="Bildobjekt 5" descr="Diagram som visar växthusgasutsläpp från kategorin arbetsmask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Diagram som visar växthusgasutsläpp från kategorin arbetsmaskiner."/>
                    <pic:cNvPicPr/>
                  </pic:nvPicPr>
                  <pic:blipFill>
                    <a:blip r:embed="rId18">
                      <a:extLst>
                        <a:ext uri="{28A0092B-C50C-407E-A947-70E740481C1C}">
                          <a14:useLocalDpi xmlns:a14="http://schemas.microsoft.com/office/drawing/2010/main" val="0"/>
                        </a:ext>
                      </a:extLst>
                    </a:blip>
                    <a:stretch>
                      <a:fillRect/>
                    </a:stretch>
                  </pic:blipFill>
                  <pic:spPr>
                    <a:xfrm>
                      <a:off x="0" y="0"/>
                      <a:ext cx="4860000" cy="2920156"/>
                    </a:xfrm>
                    <a:prstGeom prst="rect">
                      <a:avLst/>
                    </a:prstGeom>
                    <a:ln>
                      <a:solidFill>
                        <a:schemeClr val="bg1">
                          <a:lumMod val="85000"/>
                        </a:schemeClr>
                      </a:solidFill>
                    </a:ln>
                  </pic:spPr>
                </pic:pic>
              </a:graphicData>
            </a:graphic>
          </wp:inline>
        </w:drawing>
      </w:r>
    </w:p>
    <w:p w14:paraId="40B5F866" w14:textId="603B6190" w:rsidR="00524F0A" w:rsidRPr="009B39F5" w:rsidRDefault="006F1A0C" w:rsidP="006A6020">
      <w:pPr>
        <w:rPr>
          <w:i/>
          <w:iCs/>
        </w:rPr>
      </w:pPr>
      <w:r w:rsidRPr="008C70D4">
        <w:rPr>
          <w:i/>
          <w:iCs/>
        </w:rPr>
        <w:t xml:space="preserve">Diagram </w:t>
      </w:r>
      <w:r>
        <w:rPr>
          <w:i/>
          <w:iCs/>
        </w:rPr>
        <w:t>8</w:t>
      </w:r>
      <w:r w:rsidRPr="008C70D4">
        <w:rPr>
          <w:i/>
          <w:iCs/>
        </w:rPr>
        <w:t>: Utsläppen från transporter, ton koldioxidekvivalenter, 2021.</w:t>
      </w:r>
      <w:r w:rsidR="009E3C16">
        <w:rPr>
          <w:i/>
          <w:iCs/>
        </w:rPr>
        <w:t xml:space="preserve"> Procentsatser i förhållande till alla utsläpp, jämför med diagram 5.</w:t>
      </w:r>
    </w:p>
    <w:p w14:paraId="363338BA" w14:textId="5FCC7EB3" w:rsidR="00E13823" w:rsidRDefault="00E13823" w:rsidP="00E13823">
      <w:pPr>
        <w:pStyle w:val="Rubrik2"/>
      </w:pPr>
      <w:bookmarkStart w:id="8" w:name="_Toc155788949"/>
      <w:r>
        <w:t>Jordbruk</w:t>
      </w:r>
      <w:bookmarkEnd w:id="8"/>
    </w:p>
    <w:p w14:paraId="43257B09" w14:textId="5EDAF886" w:rsidR="00A45F12" w:rsidRPr="00A45F12" w:rsidRDefault="00A45F12" w:rsidP="00A45F12">
      <w:r>
        <w:t xml:space="preserve">Utsläppen från jordbruket är </w:t>
      </w:r>
      <w:r w:rsidR="00DE2DD2">
        <w:t>14 100 ton CO</w:t>
      </w:r>
      <w:r w:rsidR="00DE2DD2" w:rsidRPr="00890339">
        <w:rPr>
          <w:vertAlign w:val="subscript"/>
        </w:rPr>
        <w:t>2</w:t>
      </w:r>
      <w:r w:rsidR="00DE2DD2">
        <w:t>e. Av detta är 5 000 ton CO</w:t>
      </w:r>
      <w:r w:rsidR="00DE2DD2" w:rsidRPr="00890339">
        <w:rPr>
          <w:vertAlign w:val="subscript"/>
        </w:rPr>
        <w:t>2</w:t>
      </w:r>
      <w:r w:rsidR="00DE2DD2">
        <w:t>e metan och 8 600 ton CO</w:t>
      </w:r>
      <w:r w:rsidR="00DE2DD2" w:rsidRPr="00890339">
        <w:rPr>
          <w:vertAlign w:val="subscript"/>
        </w:rPr>
        <w:t>2</w:t>
      </w:r>
      <w:r w:rsidR="00DE2DD2">
        <w:t xml:space="preserve">e lustgas. Traktorer och övriga arbetsmaskiner redovisas med arbetsmaskiner ovan. </w:t>
      </w:r>
      <w:r>
        <w:t xml:space="preserve">Diagram 9 visar </w:t>
      </w:r>
      <w:r w:rsidR="00DE2DD2">
        <w:t>kategorierna som jordbruket delas in i.</w:t>
      </w:r>
    </w:p>
    <w:p w14:paraId="4314608A" w14:textId="6BDF014B" w:rsidR="00524F0A" w:rsidRDefault="00890339" w:rsidP="009E3C16">
      <w:pPr>
        <w:spacing w:after="0"/>
      </w:pPr>
      <w:r>
        <w:rPr>
          <w:noProof/>
        </w:rPr>
        <w:drawing>
          <wp:inline distT="0" distB="0" distL="0" distR="0" wp14:anchorId="7BA2BEFA" wp14:editId="4FABC58D">
            <wp:extent cx="4860000" cy="2639276"/>
            <wp:effectExtent l="19050" t="19050" r="17145" b="27940"/>
            <wp:docPr id="10" name="Bildobjekt 10" descr="Diagram som visar växthusgasutsläpp från kategorin jordbr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descr="Diagram som visar växthusgasutsläpp från kategorin jordbrik."/>
                    <pic:cNvPicPr/>
                  </pic:nvPicPr>
                  <pic:blipFill rotWithShape="1">
                    <a:blip r:embed="rId19" cstate="print">
                      <a:extLst>
                        <a:ext uri="{28A0092B-C50C-407E-A947-70E740481C1C}">
                          <a14:useLocalDpi xmlns:a14="http://schemas.microsoft.com/office/drawing/2010/main" val="0"/>
                        </a:ext>
                      </a:extLst>
                    </a:blip>
                    <a:srcRect l="2994" t="869" r="7203" b="1"/>
                    <a:stretch/>
                  </pic:blipFill>
                  <pic:spPr bwMode="auto">
                    <a:xfrm>
                      <a:off x="0" y="0"/>
                      <a:ext cx="4860000" cy="2639276"/>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1D008B4B" w14:textId="5CC97532" w:rsidR="006F1A0C" w:rsidRDefault="006F1A0C" w:rsidP="006F1A0C">
      <w:pPr>
        <w:rPr>
          <w:i/>
          <w:iCs/>
        </w:rPr>
      </w:pPr>
      <w:r w:rsidRPr="008C70D4">
        <w:rPr>
          <w:i/>
          <w:iCs/>
        </w:rPr>
        <w:t xml:space="preserve">Diagram </w:t>
      </w:r>
      <w:r w:rsidR="00A45F12">
        <w:rPr>
          <w:i/>
          <w:iCs/>
        </w:rPr>
        <w:t>9</w:t>
      </w:r>
      <w:r w:rsidRPr="008C70D4">
        <w:rPr>
          <w:i/>
          <w:iCs/>
        </w:rPr>
        <w:t>: Utsläppen från transporter, ton koldioxidekvivalenter, 2021.</w:t>
      </w:r>
      <w:r w:rsidR="009E3C16">
        <w:rPr>
          <w:i/>
          <w:iCs/>
        </w:rPr>
        <w:t xml:space="preserve"> Procentsatser i förhållande till alla utsläpp, jämför med diagram 5.</w:t>
      </w:r>
    </w:p>
    <w:p w14:paraId="6541810C" w14:textId="723A764A" w:rsidR="006F1A0C" w:rsidRDefault="00DE2DD2" w:rsidP="00524F0A">
      <w:r>
        <w:lastRenderedPageBreak/>
        <w:t>Metanutsläppen är till största del från djurs matsmältning, 4 700 ton CO</w:t>
      </w:r>
      <w:r w:rsidRPr="00890339">
        <w:rPr>
          <w:vertAlign w:val="subscript"/>
        </w:rPr>
        <w:t>2</w:t>
      </w:r>
      <w:r>
        <w:t>e och resterade metan kommer från gödsel</w:t>
      </w:r>
      <w:r w:rsidR="009E3C16">
        <w:t xml:space="preserve"> från djur</w:t>
      </w:r>
      <w:r>
        <w:t>.</w:t>
      </w:r>
    </w:p>
    <w:p w14:paraId="73E8BCBB" w14:textId="04CFF5EE" w:rsidR="00DE2DD2" w:rsidRPr="00524F0A" w:rsidRDefault="00DE2DD2" w:rsidP="00524F0A">
      <w:r>
        <w:t>Lustgas bildas i olika naturliga kemiska processer i jorden som drivs på av att vi bearbetar jorden</w:t>
      </w:r>
      <w:r w:rsidR="009E3C16">
        <w:t>. Olika odlingsmetoder ger olika stora lustgasutsläpp. Lustgas bildas också vid användning av både konstgödsel och naturgödsel. Utsläppen kopplat till alla sorters gödsling är 5 200 ton CO</w:t>
      </w:r>
      <w:r w:rsidR="009E3C16" w:rsidRPr="00890339">
        <w:rPr>
          <w:vertAlign w:val="subscript"/>
        </w:rPr>
        <w:t>2</w:t>
      </w:r>
      <w:r w:rsidR="009E3C16">
        <w:t>e och lustgasutsläppen kopplat till jord och brukad mark är 3 200 ton CO</w:t>
      </w:r>
      <w:r w:rsidR="009E3C16" w:rsidRPr="00890339">
        <w:rPr>
          <w:vertAlign w:val="subscript"/>
        </w:rPr>
        <w:t>2</w:t>
      </w:r>
      <w:r w:rsidR="009E3C16">
        <w:t>e.</w:t>
      </w:r>
    </w:p>
    <w:p w14:paraId="230A0026" w14:textId="47D8E533" w:rsidR="00052DAD" w:rsidRDefault="00E13823" w:rsidP="00E13823">
      <w:pPr>
        <w:pStyle w:val="Rubrik2"/>
      </w:pPr>
      <w:bookmarkStart w:id="9" w:name="_Toc155788950"/>
      <w:r>
        <w:t>Utrikes transporter</w:t>
      </w:r>
      <w:bookmarkEnd w:id="9"/>
    </w:p>
    <w:p w14:paraId="66DDBA27" w14:textId="320E2B2F" w:rsidR="009E3C16" w:rsidRDefault="009E3C16" w:rsidP="009E3C16">
      <w:r>
        <w:t xml:space="preserve">Utrikes transporter redovisas här separat </w:t>
      </w:r>
      <w:r w:rsidR="00847477">
        <w:t>bredvid</w:t>
      </w:r>
      <w:r>
        <w:t xml:space="preserve"> de territoriella utsläppen. Utrikes transporter kan inte ses som territoriella utsläpp men </w:t>
      </w:r>
      <w:r w:rsidR="00E94C22">
        <w:t>i en territoriell allokering av alla jordens utsläpp så behöver även internationella transporter fördelas ut på något sätt.</w:t>
      </w:r>
    </w:p>
    <w:p w14:paraId="23098D50" w14:textId="60030DC2" w:rsidR="00610D75" w:rsidRDefault="00610D75" w:rsidP="009E3C16">
      <w:r>
        <w:t>Eftersom nationella emissionsdatabasen in</w:t>
      </w:r>
      <w:r w:rsidR="00A17653">
        <w:t>te</w:t>
      </w:r>
      <w:r>
        <w:t xml:space="preserve"> inkluderar utrikes transporter har vi </w:t>
      </w:r>
      <w:r w:rsidR="00A17653">
        <w:t xml:space="preserve">utgått från samma metod som Västra Götaland inför att de skulle ta fram sin koldioxidbudget, utsläppen för Sverige är fördelade utifrån Trollhättans invånarantal. För utrikes sjöfart </w:t>
      </w:r>
      <w:r w:rsidR="00A17653" w:rsidRPr="00A17653">
        <w:t>bokförs koldioxidutsläpp från internationella fartyg som tankar i Sverige.</w:t>
      </w:r>
      <w:r w:rsidR="00A17653">
        <w:t xml:space="preserve"> Utrikes flyg är </w:t>
      </w:r>
      <w:r w:rsidR="00A17653" w:rsidRPr="00A17653">
        <w:t>uppskattade utifrån svenskars samtliga tur- och returresor till utrikes destinationer, vilka sedan har fördelats jämnt över befolkningen.</w:t>
      </w:r>
    </w:p>
    <w:p w14:paraId="7033BD24" w14:textId="06C2C6A2" w:rsidR="00A17653" w:rsidRDefault="00A17653" w:rsidP="009E3C16">
      <w:r>
        <w:rPr>
          <w:noProof/>
        </w:rPr>
        <w:drawing>
          <wp:inline distT="0" distB="0" distL="0" distR="0" wp14:anchorId="06E55EAA" wp14:editId="1176B552">
            <wp:extent cx="4859655" cy="2618509"/>
            <wp:effectExtent l="0" t="0" r="17145" b="10795"/>
            <wp:docPr id="11" name="Diagram 11" descr="Diagram som visar utsläpp från utrikes flyg och utrikes sjöfart i förhållande till de territoriella utsläppe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94AE28E" w14:textId="3582FDA5" w:rsidR="00B43E8E" w:rsidRDefault="00B43E8E" w:rsidP="009E3C16">
      <w:pPr>
        <w:rPr>
          <w:i/>
          <w:iCs/>
        </w:rPr>
      </w:pPr>
      <w:r w:rsidRPr="008C70D4">
        <w:rPr>
          <w:i/>
          <w:iCs/>
        </w:rPr>
        <w:t xml:space="preserve">Diagram </w:t>
      </w:r>
      <w:r>
        <w:rPr>
          <w:i/>
          <w:iCs/>
        </w:rPr>
        <w:t>10</w:t>
      </w:r>
      <w:r w:rsidRPr="008C70D4">
        <w:rPr>
          <w:i/>
          <w:iCs/>
        </w:rPr>
        <w:t xml:space="preserve">: Utsläppen från </w:t>
      </w:r>
      <w:r>
        <w:rPr>
          <w:i/>
          <w:iCs/>
        </w:rPr>
        <w:t>utrikes sjöfart och flyg i jämförelse med Trollhättans territoriella utsläpp.</w:t>
      </w:r>
    </w:p>
    <w:p w14:paraId="567EE7FD" w14:textId="1ADD1CB2" w:rsidR="00B90A7A" w:rsidRDefault="00B90A7A" w:rsidP="009E3C16">
      <w:r>
        <w:t>I diagram 10 syns att u</w:t>
      </w:r>
      <w:r w:rsidR="00847477">
        <w:t>trikes transporter är ett område som inte har minskat utan snarare ökat</w:t>
      </w:r>
      <w:r>
        <w:t xml:space="preserve"> sen 2000,</w:t>
      </w:r>
      <w:r w:rsidR="00847477">
        <w:t xml:space="preserve"> om än något varierande siffor. Vi ser</w:t>
      </w:r>
      <w:r>
        <w:t xml:space="preserve"> en</w:t>
      </w:r>
      <w:r w:rsidR="00847477">
        <w:t xml:space="preserve"> tydlig pandemi-effekt där flygresorna går ner </w:t>
      </w:r>
      <w:proofErr w:type="gramStart"/>
      <w:r w:rsidR="00847477">
        <w:t>2020-2021</w:t>
      </w:r>
      <w:proofErr w:type="gramEnd"/>
      <w:r w:rsidR="00847477">
        <w:t xml:space="preserve"> för att sedan gå upp igen 2022. </w:t>
      </w:r>
      <w:r w:rsidR="00225020">
        <w:t xml:space="preserve">I det längre </w:t>
      </w:r>
      <w:r w:rsidR="00225020">
        <w:lastRenderedPageBreak/>
        <w:t>tidsperspektivet så har vi en ökning från 11 500 ton CO</w:t>
      </w:r>
      <w:r w:rsidR="00225020" w:rsidRPr="00890339">
        <w:rPr>
          <w:vertAlign w:val="subscript"/>
        </w:rPr>
        <w:t>2</w:t>
      </w:r>
      <w:r w:rsidR="00225020">
        <w:t>e 2000 till 15 100 ton CO</w:t>
      </w:r>
      <w:r w:rsidR="00225020" w:rsidRPr="00890339">
        <w:rPr>
          <w:vertAlign w:val="subscript"/>
        </w:rPr>
        <w:t>2</w:t>
      </w:r>
      <w:r w:rsidR="00225020">
        <w:t>e vilket sticker ut jämfört</w:t>
      </w:r>
      <w:r w:rsidR="00007ADC">
        <w:t xml:space="preserve"> med alla sektorer i de territoriella utsläppen (diagram 4) där inget område har en ökning under 2000-talet.</w:t>
      </w:r>
    </w:p>
    <w:p w14:paraId="15BB6DA5" w14:textId="526A2164" w:rsidR="00B90A7A" w:rsidRPr="00B43E8E" w:rsidRDefault="00847477" w:rsidP="009E3C16">
      <w:r>
        <w:t xml:space="preserve">Utrikes sjöfart är starkt kopplat till landets import, både till vår industri och </w:t>
      </w:r>
      <w:r w:rsidR="00B90A7A">
        <w:t xml:space="preserve">till </w:t>
      </w:r>
      <w:r>
        <w:t>privat konsumtion</w:t>
      </w:r>
      <w:r w:rsidR="00B90A7A">
        <w:t>. Utrikes sjöfart kan därför ge oss en fingervisning om vår konsumtions påverkan på klimatet. Till skillnad från vägtransporter är sjöfart ett område som inte har haft samma effektivisering då internationell sjöfart har sluppit undan all reglering som skett både i Sverige och i många andra länder i världen. Exempelvis så är det först nu, under 2024 som sjöfartssektorn fasas in i EU:s utsläppshandelssystem.</w:t>
      </w:r>
    </w:p>
    <w:p w14:paraId="3C646867" w14:textId="4C8FD9FC" w:rsidR="001516E0" w:rsidRDefault="00E13823" w:rsidP="00E13823">
      <w:pPr>
        <w:pStyle w:val="Rubrik1"/>
      </w:pPr>
      <w:bookmarkStart w:id="10" w:name="_Toc155788951"/>
      <w:r>
        <w:t>Konsumtionsbaserade utsläpp</w:t>
      </w:r>
      <w:bookmarkEnd w:id="10"/>
    </w:p>
    <w:p w14:paraId="45AA7E86" w14:textId="3F17D999" w:rsidR="00B90A7A" w:rsidRDefault="00C10C29" w:rsidP="00B90A7A">
      <w:r>
        <w:t xml:space="preserve">Data för konsumtionsbaserade utsläpp fördelat på postnummernivå har tagits fram av Stockholm Environment </w:t>
      </w:r>
      <w:proofErr w:type="spellStart"/>
      <w:r>
        <w:t>Institute</w:t>
      </w:r>
      <w:proofErr w:type="spellEnd"/>
      <w:r>
        <w:t xml:space="preserve"> för 2019. </w:t>
      </w:r>
      <w:r w:rsidR="00664DFE">
        <w:t>För aktuellare siffror finns endast statistik</w:t>
      </w:r>
      <w:r w:rsidR="003C317C">
        <w:t xml:space="preserve"> på nationell nivå</w:t>
      </w:r>
      <w:r w:rsidR="00664DFE">
        <w:t>. Totalt är det utsläpp om 3</w:t>
      </w:r>
      <w:r w:rsidR="002C4425">
        <w:t>49 000 ton CO</w:t>
      </w:r>
      <w:r w:rsidR="002C4425" w:rsidRPr="00890339">
        <w:rPr>
          <w:vertAlign w:val="subscript"/>
        </w:rPr>
        <w:t>2</w:t>
      </w:r>
      <w:r w:rsidR="002C4425">
        <w:t xml:space="preserve">e vilket </w:t>
      </w:r>
      <w:r w:rsidR="00A33F5D">
        <w:t>är 3,5 gånger mer än de territoriella utsläppen (deponier exkluderat)</w:t>
      </w:r>
      <w:r w:rsidR="002C4425">
        <w:t xml:space="preserve">. </w:t>
      </w:r>
      <w:r w:rsidR="00664DFE">
        <w:t>I diagram 11 syns fö</w:t>
      </w:r>
      <w:r w:rsidR="00A33F5D">
        <w:t>rdelningen av olika konsumtionsområden</w:t>
      </w:r>
      <w:r w:rsidR="00AA6E3E">
        <w:t>.</w:t>
      </w:r>
      <w:r w:rsidR="00CD5D3E">
        <w:t xml:space="preserve"> Alla områden </w:t>
      </w:r>
      <w:r w:rsidR="00F46175">
        <w:t xml:space="preserve">förutom </w:t>
      </w:r>
      <w:r w:rsidR="00F46175" w:rsidRPr="00F46175">
        <w:rPr>
          <w:i/>
          <w:iCs/>
        </w:rPr>
        <w:t>Energi</w:t>
      </w:r>
      <w:r w:rsidR="00F46175">
        <w:t xml:space="preserve"> </w:t>
      </w:r>
      <w:r w:rsidR="00CD5D3E">
        <w:t>beskrivs nedan</w:t>
      </w:r>
      <w:r w:rsidR="00F46175">
        <w:t xml:space="preserve">, </w:t>
      </w:r>
      <w:r w:rsidR="00007ADC">
        <w:t>energistatistiken i detta underlag visar på osäkerheter och behöver utredas.</w:t>
      </w:r>
    </w:p>
    <w:p w14:paraId="44215C4A" w14:textId="53B7BD24" w:rsidR="00C10C29" w:rsidRDefault="00664DFE" w:rsidP="00B90A7A">
      <w:r>
        <w:rPr>
          <w:noProof/>
        </w:rPr>
        <w:drawing>
          <wp:inline distT="0" distB="0" distL="0" distR="0" wp14:anchorId="3A85DCDF" wp14:editId="7CB5DD89">
            <wp:extent cx="4859655" cy="2834640"/>
            <wp:effectExtent l="0" t="0" r="17145" b="3810"/>
            <wp:docPr id="13" name="Diagram 13" descr="Ett cirkeldiagram som visar den konsumtionsbaserade utsläppen från invånare i Trollhätta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DA47B27" w14:textId="6F483169" w:rsidR="00664DFE" w:rsidRDefault="00664DFE" w:rsidP="00664DFE">
      <w:pPr>
        <w:rPr>
          <w:i/>
          <w:iCs/>
        </w:rPr>
      </w:pPr>
      <w:r w:rsidRPr="008C70D4">
        <w:rPr>
          <w:i/>
          <w:iCs/>
        </w:rPr>
        <w:t xml:space="preserve">Diagram </w:t>
      </w:r>
      <w:r>
        <w:rPr>
          <w:i/>
          <w:iCs/>
        </w:rPr>
        <w:t>11</w:t>
      </w:r>
      <w:r w:rsidRPr="008C70D4">
        <w:rPr>
          <w:i/>
          <w:iCs/>
        </w:rPr>
        <w:t xml:space="preserve">: </w:t>
      </w:r>
      <w:r w:rsidR="00A33F5D">
        <w:rPr>
          <w:i/>
          <w:iCs/>
        </w:rPr>
        <w:t>Konsumtionsu</w:t>
      </w:r>
      <w:r w:rsidRPr="008C70D4">
        <w:rPr>
          <w:i/>
          <w:iCs/>
        </w:rPr>
        <w:t xml:space="preserve">tsläpp från </w:t>
      </w:r>
      <w:r w:rsidR="00A33F5D">
        <w:rPr>
          <w:i/>
          <w:iCs/>
        </w:rPr>
        <w:t>invånarna i Trollhättan.</w:t>
      </w:r>
    </w:p>
    <w:p w14:paraId="4ADFFEEB" w14:textId="03C51BB0" w:rsidR="00664DFE" w:rsidRDefault="00AA6E3E" w:rsidP="00AA6E3E">
      <w:pPr>
        <w:pStyle w:val="Rubrik2"/>
      </w:pPr>
      <w:r>
        <w:lastRenderedPageBreak/>
        <w:t>Transporter</w:t>
      </w:r>
    </w:p>
    <w:p w14:paraId="781AAD45" w14:textId="19C0E06D" w:rsidR="00E63946" w:rsidRPr="00B90A7A" w:rsidRDefault="00B67B57" w:rsidP="00E63946">
      <w:r>
        <w:t>Jämfört med de territoriella utsläppen ovan så är även produktion av transportmedlet inkluderat</w:t>
      </w:r>
      <w:r w:rsidR="00E63946">
        <w:t>, samt underhåll och andra ”produkter” för transport så som parkering och kollektivtrafik</w:t>
      </w:r>
      <w:r>
        <w:t xml:space="preserve">. </w:t>
      </w:r>
      <w:r w:rsidR="00E63946">
        <w:t>Diagram 11 visar vad som ingår i transporter.</w:t>
      </w:r>
    </w:p>
    <w:p w14:paraId="0DC76922" w14:textId="327638A9" w:rsidR="00E63946" w:rsidRDefault="00B67B57" w:rsidP="00AA6E3E">
      <w:r>
        <w:t xml:space="preserve">Utsläpp från flyg är även inbakat här men inte godstransporter då de utsläppen allokeras på godset. </w:t>
      </w:r>
      <w:r w:rsidR="00E63946">
        <w:t>När hela ”transportproduktens” utsläpp summeras landar det alltså på mer än dubbelt så mycket som transporter släpper ut i det geografiska om rådet för Trollhättan.</w:t>
      </w:r>
    </w:p>
    <w:p w14:paraId="3BC3D7ED" w14:textId="176E7A76" w:rsidR="00AA6E3E" w:rsidRDefault="00B67B57" w:rsidP="00AA6E3E">
      <w:r>
        <w:rPr>
          <w:noProof/>
        </w:rPr>
        <w:drawing>
          <wp:inline distT="0" distB="0" distL="0" distR="0" wp14:anchorId="4AEA0321" wp14:editId="0F06E621">
            <wp:extent cx="4859655" cy="2834640"/>
            <wp:effectExtent l="0" t="0" r="17145" b="3810"/>
            <wp:docPr id="14" name="Diagram 14" descr="Diagram som visar utsläpp från transporter ur ett konsumtionsperspektiv, från invånare i Trollhättan. Kategorierna &quot;Drivmedel till personbilar&quot; och &quot;Flyg&quot; sticker ut med drygt 50 000 ton koldioxidekvivalenter va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DEB6CC0" w14:textId="01D33C4D" w:rsidR="00CD5D3E" w:rsidRDefault="00E63946" w:rsidP="00CD5D3E">
      <w:pPr>
        <w:rPr>
          <w:i/>
          <w:iCs/>
        </w:rPr>
      </w:pPr>
      <w:r w:rsidRPr="00E63946">
        <w:rPr>
          <w:i/>
          <w:iCs/>
        </w:rPr>
        <w:t xml:space="preserve">Diagram 11: </w:t>
      </w:r>
      <w:r>
        <w:rPr>
          <w:i/>
          <w:iCs/>
        </w:rPr>
        <w:t xml:space="preserve">Utsläpp från olika ”transportprodukter” baserat på </w:t>
      </w:r>
      <w:r w:rsidR="00CD5D3E">
        <w:rPr>
          <w:i/>
          <w:iCs/>
        </w:rPr>
        <w:t>invånarna i Trollhättan</w:t>
      </w:r>
      <w:r w:rsidR="00AB788B">
        <w:rPr>
          <w:i/>
          <w:iCs/>
        </w:rPr>
        <w:t>, ton CO</w:t>
      </w:r>
      <w:r w:rsidR="00AB788B" w:rsidRPr="00AB788B">
        <w:rPr>
          <w:i/>
          <w:iCs/>
          <w:vertAlign w:val="subscript"/>
        </w:rPr>
        <w:t>2</w:t>
      </w:r>
      <w:r w:rsidR="00AB788B">
        <w:rPr>
          <w:i/>
          <w:iCs/>
        </w:rPr>
        <w:t>e 2019</w:t>
      </w:r>
      <w:r w:rsidR="00CD5D3E">
        <w:rPr>
          <w:i/>
          <w:iCs/>
        </w:rPr>
        <w:t>.</w:t>
      </w:r>
    </w:p>
    <w:p w14:paraId="0BE53D91" w14:textId="4AA8EFFE" w:rsidR="00CD5D3E" w:rsidRDefault="00E63946" w:rsidP="00F46175">
      <w:r w:rsidRPr="00E63946">
        <w:t>Flyg och drivmedel till personbilar står för de absolut största delarna av transportutsläppen.</w:t>
      </w:r>
      <w:r>
        <w:t xml:space="preserve"> Tittar man ner på postnummernivå </w:t>
      </w:r>
      <w:r w:rsidR="00147392">
        <w:t>syns det är det är på landsbygden mest drivmedel konsumeras medan flygresor konsumeras mest i postnumren för centrum (461 34), Björndalen (461 59) och Skoftebyn/Innovatum (461 54).</w:t>
      </w:r>
    </w:p>
    <w:p w14:paraId="43CF7CC9" w14:textId="008EB31D" w:rsidR="00147392" w:rsidRDefault="00147392" w:rsidP="00147392">
      <w:pPr>
        <w:pStyle w:val="Rubrik2"/>
      </w:pPr>
      <w:r>
        <w:t>Livsmedel</w:t>
      </w:r>
    </w:p>
    <w:p w14:paraId="7D7A0C44" w14:textId="495CE85B" w:rsidR="00C715A2" w:rsidRDefault="00C715A2" w:rsidP="00C715A2">
      <w:r>
        <w:t xml:space="preserve">Livsmedel är betydande del av utsläppen precis som transporter. Här är även alkohol, tobak och droger medräknade. Diagram 12 visar fördelningen av olika livsmedelslag. Värt att notera här är att utsläppens storlek både beror på livsmedlets påverkan under produktion </w:t>
      </w:r>
      <w:proofErr w:type="gramStart"/>
      <w:r>
        <w:t>men också</w:t>
      </w:r>
      <w:proofErr w:type="gramEnd"/>
      <w:r>
        <w:t xml:space="preserve"> hur mycket vi köper av den. Exempelvis är grönsaker och frukt största utsläpparen men det är också den kategori som vi köper allra mest </w:t>
      </w:r>
      <w:r>
        <w:lastRenderedPageBreak/>
        <w:t xml:space="preserve">av. </w:t>
      </w:r>
      <w:r w:rsidR="00CD5D3E">
        <w:t>Byter vi kalops mot linsgryta så kommer ökningen i ”grönsaker och frukt” vara betydligt mindre än minskningen i ”kött”.</w:t>
      </w:r>
    </w:p>
    <w:p w14:paraId="0C4AC580" w14:textId="65ECD631" w:rsidR="00CD5D3E" w:rsidRDefault="00CD5D3E" w:rsidP="00C715A2">
      <w:r>
        <w:rPr>
          <w:noProof/>
        </w:rPr>
        <w:drawing>
          <wp:inline distT="0" distB="0" distL="0" distR="0" wp14:anchorId="296B45B7" wp14:editId="5F85E178">
            <wp:extent cx="4859655" cy="2834640"/>
            <wp:effectExtent l="0" t="0" r="17145" b="3810"/>
            <wp:docPr id="15" name="Diagram 15" descr="Diagram som visar utsläpp från livsmedel ur ett konsumtionsperspektiv, från invånare i Trollhättan. Störst är kategorierna Grönsaker och frukt, Kött, Mejeri + ägg och Matserveringar som alla är över 12000 ton koldioxidekvivalenter. "/>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51B6039" w14:textId="5FEB45E7" w:rsidR="00CD5D3E" w:rsidRDefault="00CD5D3E" w:rsidP="00CD5D3E">
      <w:pPr>
        <w:rPr>
          <w:i/>
          <w:iCs/>
        </w:rPr>
      </w:pPr>
      <w:r w:rsidRPr="00E63946">
        <w:rPr>
          <w:i/>
          <w:iCs/>
        </w:rPr>
        <w:t>Diagram 1</w:t>
      </w:r>
      <w:r>
        <w:rPr>
          <w:i/>
          <w:iCs/>
        </w:rPr>
        <w:t>2</w:t>
      </w:r>
      <w:r w:rsidRPr="00E63946">
        <w:rPr>
          <w:i/>
          <w:iCs/>
        </w:rPr>
        <w:t xml:space="preserve">: </w:t>
      </w:r>
      <w:r>
        <w:rPr>
          <w:i/>
          <w:iCs/>
        </w:rPr>
        <w:t>Utsläpp från</w:t>
      </w:r>
      <w:r w:rsidR="00AB788B">
        <w:rPr>
          <w:i/>
          <w:iCs/>
        </w:rPr>
        <w:t xml:space="preserve"> </w:t>
      </w:r>
      <w:r>
        <w:rPr>
          <w:i/>
          <w:iCs/>
        </w:rPr>
        <w:t>livsmedel baserat på konsumtion från invånarna i Trollhättan</w:t>
      </w:r>
      <w:r w:rsidR="00AB788B">
        <w:rPr>
          <w:i/>
          <w:iCs/>
        </w:rPr>
        <w:t>, ton CO</w:t>
      </w:r>
      <w:r w:rsidR="00AB788B" w:rsidRPr="00AB788B">
        <w:rPr>
          <w:i/>
          <w:iCs/>
          <w:vertAlign w:val="subscript"/>
        </w:rPr>
        <w:t>2</w:t>
      </w:r>
      <w:r w:rsidR="00AB788B">
        <w:rPr>
          <w:i/>
          <w:iCs/>
        </w:rPr>
        <w:t>e 2019.</w:t>
      </w:r>
    </w:p>
    <w:p w14:paraId="0FDEED93" w14:textId="1F3340B8" w:rsidR="00AB788B" w:rsidRDefault="00AB788B" w:rsidP="00AB788B">
      <w:pPr>
        <w:pStyle w:val="Rubrik2"/>
      </w:pPr>
      <w:r>
        <w:t>Bostad</w:t>
      </w:r>
    </w:p>
    <w:p w14:paraId="0C46916A" w14:textId="2553CA1C" w:rsidR="00AB788B" w:rsidRPr="00AB788B" w:rsidRDefault="00AB788B" w:rsidP="00AB788B">
      <w:r>
        <w:t xml:space="preserve">Konsumtionsbaserade utsläpp från bostad innefattar bygg och fastighetsunderhåll av bostad och fritidshus som är klart största delen. Sedan är det produkter som behövs för hemmet, inredning, hushållsmaskiner </w:t>
      </w:r>
      <w:proofErr w:type="gramStart"/>
      <w:r>
        <w:t>m.m.</w:t>
      </w:r>
      <w:proofErr w:type="gramEnd"/>
    </w:p>
    <w:p w14:paraId="2544F3C0" w14:textId="5FE59FFC" w:rsidR="00CD5D3E" w:rsidRDefault="00AB788B" w:rsidP="00CD5D3E">
      <w:r>
        <w:rPr>
          <w:noProof/>
        </w:rPr>
        <w:drawing>
          <wp:inline distT="0" distB="0" distL="0" distR="0" wp14:anchorId="06DD0202" wp14:editId="1A4E11C4">
            <wp:extent cx="4859655" cy="2182091"/>
            <wp:effectExtent l="0" t="0" r="17145" b="8890"/>
            <wp:docPr id="17" name="Diagram 17" descr="Diagram som visar utsläpp från bostäder ur ett konsumtionsperspektiv, från invånare i Trollhätta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7376410" w14:textId="2888E3DD" w:rsidR="00AB788B" w:rsidRDefault="00AB788B" w:rsidP="00CD5D3E">
      <w:r w:rsidRPr="00E63946">
        <w:rPr>
          <w:i/>
          <w:iCs/>
        </w:rPr>
        <w:t>Diagram 1</w:t>
      </w:r>
      <w:r>
        <w:rPr>
          <w:i/>
          <w:iCs/>
        </w:rPr>
        <w:t>2</w:t>
      </w:r>
      <w:r w:rsidRPr="00E63946">
        <w:rPr>
          <w:i/>
          <w:iCs/>
        </w:rPr>
        <w:t xml:space="preserve">: </w:t>
      </w:r>
      <w:r>
        <w:rPr>
          <w:i/>
          <w:iCs/>
        </w:rPr>
        <w:t>Utsläpp från konsumtionsområd</w:t>
      </w:r>
      <w:r w:rsidR="004437CC">
        <w:rPr>
          <w:i/>
          <w:iCs/>
        </w:rPr>
        <w:t>e</w:t>
      </w:r>
      <w:r>
        <w:rPr>
          <w:i/>
          <w:iCs/>
        </w:rPr>
        <w:t>t ”bostad” exklusive energi. Baserat på konsumtion från invånarna i Trollhättan, ton CO</w:t>
      </w:r>
      <w:r w:rsidRPr="00AB788B">
        <w:rPr>
          <w:i/>
          <w:iCs/>
          <w:vertAlign w:val="subscript"/>
        </w:rPr>
        <w:t>2</w:t>
      </w:r>
      <w:r>
        <w:rPr>
          <w:i/>
          <w:iCs/>
        </w:rPr>
        <w:t>e 2019.</w:t>
      </w:r>
    </w:p>
    <w:p w14:paraId="60C77D41" w14:textId="09FBCE92" w:rsidR="00AB788B" w:rsidRDefault="00AB788B" w:rsidP="00AB788B">
      <w:pPr>
        <w:pStyle w:val="Rubrik2"/>
      </w:pPr>
      <w:r>
        <w:lastRenderedPageBreak/>
        <w:t>Övrigt</w:t>
      </w:r>
    </w:p>
    <w:p w14:paraId="1C307049" w14:textId="1228210E" w:rsidR="00DB1264" w:rsidRPr="00DB1264" w:rsidRDefault="00DB1264" w:rsidP="00DB1264">
      <w:r>
        <w:t xml:space="preserve">Totalt omfattar övrig konsumtion 60 000 ton </w:t>
      </w:r>
      <w:r w:rsidRPr="00DB1264">
        <w:t>CO</w:t>
      </w:r>
      <w:r w:rsidRPr="00DB1264">
        <w:rPr>
          <w:vertAlign w:val="subscript"/>
        </w:rPr>
        <w:t>2</w:t>
      </w:r>
      <w:r w:rsidRPr="00DB1264">
        <w:t>e</w:t>
      </w:r>
      <w:r w:rsidR="00007ADC">
        <w:t xml:space="preserve"> och omfattar många olika områden. Som jämförelse så står kläder för 10 600 ton CO</w:t>
      </w:r>
      <w:r w:rsidR="00007ADC" w:rsidRPr="00890339">
        <w:rPr>
          <w:vertAlign w:val="subscript"/>
        </w:rPr>
        <w:t>2</w:t>
      </w:r>
      <w:r w:rsidR="00007ADC">
        <w:t xml:space="preserve">e vilket är </w:t>
      </w:r>
      <w:r w:rsidR="00911FF9">
        <w:t>ungefär lika mycket som utsläppen</w:t>
      </w:r>
      <w:r w:rsidRPr="00DB1264">
        <w:t xml:space="preserve"> </w:t>
      </w:r>
      <w:r w:rsidR="00911FF9">
        <w:t>från kött eller utrikes flyg 2022.</w:t>
      </w:r>
    </w:p>
    <w:p w14:paraId="4F923823" w14:textId="462A7AC4" w:rsidR="004437CC" w:rsidRDefault="00DB1264" w:rsidP="004437CC">
      <w:r>
        <w:rPr>
          <w:noProof/>
        </w:rPr>
        <w:drawing>
          <wp:inline distT="0" distB="0" distL="0" distR="0" wp14:anchorId="77CA9BE2" wp14:editId="27EA30B5">
            <wp:extent cx="4859655" cy="3981450"/>
            <wp:effectExtent l="0" t="0" r="17145" b="0"/>
            <wp:docPr id="18" name="Diagram 18" descr="Diagram som visar utsläpp från övrig konsumtion ur ett konsumtionsperspektiv, från invånare i Trollhättan. Kategorin kläder sticker ut med drygt 10 000 ton koldioxidekvivalente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832AC10" w14:textId="315CF1F1" w:rsidR="00DB1264" w:rsidRDefault="00DB1264" w:rsidP="00DB1264">
      <w:pPr>
        <w:rPr>
          <w:i/>
          <w:iCs/>
        </w:rPr>
      </w:pPr>
      <w:r w:rsidRPr="00E63946">
        <w:rPr>
          <w:i/>
          <w:iCs/>
        </w:rPr>
        <w:t>Diagram 1</w:t>
      </w:r>
      <w:r>
        <w:rPr>
          <w:i/>
          <w:iCs/>
        </w:rPr>
        <w:t>3</w:t>
      </w:r>
      <w:r w:rsidRPr="00E63946">
        <w:rPr>
          <w:i/>
          <w:iCs/>
        </w:rPr>
        <w:t xml:space="preserve">: </w:t>
      </w:r>
      <w:r>
        <w:rPr>
          <w:i/>
          <w:iCs/>
        </w:rPr>
        <w:t>Utsläpp från övrig konsumtion av varor och tjänster. Baserat på konsumtion från invånarna i Trollhättan, ton CO</w:t>
      </w:r>
      <w:r w:rsidRPr="00AB788B">
        <w:rPr>
          <w:i/>
          <w:iCs/>
          <w:vertAlign w:val="subscript"/>
        </w:rPr>
        <w:t>2</w:t>
      </w:r>
      <w:r>
        <w:rPr>
          <w:i/>
          <w:iCs/>
        </w:rPr>
        <w:t>e 2019.</w:t>
      </w:r>
    </w:p>
    <w:p w14:paraId="00959774" w14:textId="41AA3CA8" w:rsidR="00E13823" w:rsidRDefault="00E13823" w:rsidP="00E13823">
      <w:pPr>
        <w:pStyle w:val="Rubrik1"/>
      </w:pPr>
      <w:r>
        <w:t>Utsläpp från Trollhättans Stad och bolag</w:t>
      </w:r>
    </w:p>
    <w:p w14:paraId="3AE5D472" w14:textId="628D0DA5" w:rsidR="00F46175" w:rsidRDefault="00F46175" w:rsidP="00F46175">
      <w:r>
        <w:t>I Trollhättan</w:t>
      </w:r>
      <w:r w:rsidR="00911FF9">
        <w:t xml:space="preserve"> Stad och bolag följer vi inte alla utsläpp då detta hade varit en övermäktig uppgift. Området</w:t>
      </w:r>
      <w:r>
        <w:t xml:space="preserve"> energi</w:t>
      </w:r>
      <w:r w:rsidR="00911FF9">
        <w:t>/transporter</w:t>
      </w:r>
      <w:r>
        <w:t xml:space="preserve"> och livsmede</w:t>
      </w:r>
      <w:r w:rsidR="00911FF9">
        <w:t>l har vi kunnat följa en längre tid och fler områden tillkommer allteftersom det tillkommer ökad kunskap flera delar i samhället. Ibland handlar det om att vi behöver ha tid att beräkna utsläpp utifrån kunskap vi i staden har och ibland är det leverantörer som behöver veta vad deras produkter generar. Just livsmedel har vi bra koll på tack vara våra leverantörers kunskap.</w:t>
      </w:r>
    </w:p>
    <w:p w14:paraId="490DA734" w14:textId="2355CE2D" w:rsidR="00E201A3" w:rsidRPr="00E201A3" w:rsidRDefault="00F46175" w:rsidP="00E201A3">
      <w:pPr>
        <w:pStyle w:val="Rubrik2"/>
      </w:pPr>
      <w:r>
        <w:lastRenderedPageBreak/>
        <w:t>Köpt energi</w:t>
      </w:r>
    </w:p>
    <w:p w14:paraId="67EF0A08" w14:textId="537EB399" w:rsidR="00696F77" w:rsidRDefault="00212E78" w:rsidP="00FE43B6">
      <w:r>
        <w:t xml:space="preserve">Både i staden och i koncernen följer vi all energikonsumtion. I diagram 14 nedan så ingår </w:t>
      </w:r>
      <w:r w:rsidR="00696F77">
        <w:t>Trollhättans Stad, Eidar, Kraftsstaden och Trollhättans Energi</w:t>
      </w:r>
      <w:r>
        <w:t xml:space="preserve">. </w:t>
      </w:r>
      <w:r w:rsidR="005A6DB4">
        <w:t>Det är den energi vi använt i koncernen och inte den energi som Trollhättan Energi omsätter i sin produktion och handel med el och fjärrvärme.</w:t>
      </w:r>
    </w:p>
    <w:p w14:paraId="3B34C817" w14:textId="6B6B9D58" w:rsidR="005A6DB4" w:rsidRPr="00FE43B6" w:rsidRDefault="00212E78" w:rsidP="00FE43B6">
      <w:r>
        <w:t>Livscykelutsläppen kan ses som energins konsumtionsutsläpp där vi tittar på alla utsläpp som uppstått för att energin ska nå oss. De direkta utsläppen är helt enkelt de utsläppen som sker vid förbränningen</w:t>
      </w:r>
      <w:r w:rsidR="00696F77">
        <w:t>. Fjärrvärmen och elen är i absoluta tal störst men det ska jämföras med energimängden, där vi använt 55 000 MWh el, 2 600 MWh biogas och endast 800 MWh bensin</w:t>
      </w:r>
      <w:r w:rsidR="005A6DB4">
        <w:t xml:space="preserve">. </w:t>
      </w:r>
    </w:p>
    <w:p w14:paraId="7E2E6A03" w14:textId="48E1559B" w:rsidR="00F46175" w:rsidRDefault="00F46175" w:rsidP="00F46175">
      <w:r>
        <w:rPr>
          <w:noProof/>
        </w:rPr>
        <w:drawing>
          <wp:inline distT="0" distB="0" distL="0" distR="0" wp14:anchorId="14D7EC2F" wp14:editId="33B39FF6">
            <wp:extent cx="4859655" cy="2834640"/>
            <wp:effectExtent l="0" t="0" r="17145" b="3810"/>
            <wp:docPr id="16" name="Diagram 16" descr="Diagram som visar utsläpp kopplade till Trollhättans Stad och bolags energiköp."/>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00C58E9" w14:textId="1A8023AB" w:rsidR="00696F77" w:rsidRDefault="00696F77" w:rsidP="00696F77">
      <w:pPr>
        <w:rPr>
          <w:i/>
          <w:iCs/>
        </w:rPr>
      </w:pPr>
      <w:r w:rsidRPr="00E63946">
        <w:rPr>
          <w:i/>
          <w:iCs/>
        </w:rPr>
        <w:t>Diagram 1</w:t>
      </w:r>
      <w:r>
        <w:rPr>
          <w:i/>
          <w:iCs/>
        </w:rPr>
        <w:t>4</w:t>
      </w:r>
      <w:r w:rsidRPr="00E63946">
        <w:rPr>
          <w:i/>
          <w:iCs/>
        </w:rPr>
        <w:t xml:space="preserve">: </w:t>
      </w:r>
      <w:r>
        <w:rPr>
          <w:i/>
          <w:iCs/>
        </w:rPr>
        <w:t>Utsläpp från köpt energi i Trollhättans Stad och bolag. Ton CO</w:t>
      </w:r>
      <w:r w:rsidRPr="00AB788B">
        <w:rPr>
          <w:i/>
          <w:iCs/>
          <w:vertAlign w:val="subscript"/>
        </w:rPr>
        <w:t>2</w:t>
      </w:r>
      <w:r>
        <w:rPr>
          <w:i/>
          <w:iCs/>
        </w:rPr>
        <w:t>e, år 2022.</w:t>
      </w:r>
    </w:p>
    <w:p w14:paraId="40E523C6" w14:textId="773DABB1" w:rsidR="005A6DB4" w:rsidRPr="005A6DB4" w:rsidRDefault="005A6DB4" w:rsidP="00696F77">
      <w:r>
        <w:t>Summerar vi utsläppen från diesel, bensin, biogas, HVO och alkylatbensin, dvs utsläppen från våra transporter så landar vi på 600 ton</w:t>
      </w:r>
      <w:r w:rsidRPr="005A6DB4">
        <w:rPr>
          <w:i/>
          <w:iCs/>
        </w:rPr>
        <w:t xml:space="preserve"> </w:t>
      </w:r>
      <w:r w:rsidRPr="005A6DB4">
        <w:t>CO</w:t>
      </w:r>
      <w:r w:rsidRPr="005A6DB4">
        <w:rPr>
          <w:vertAlign w:val="subscript"/>
        </w:rPr>
        <w:t>2</w:t>
      </w:r>
      <w:r w:rsidRPr="005A6DB4">
        <w:t>e</w:t>
      </w:r>
      <w:r>
        <w:t xml:space="preserve"> i livscykelutsläpp och 260 ton</w:t>
      </w:r>
      <w:r w:rsidRPr="005A6DB4">
        <w:rPr>
          <w:i/>
          <w:iCs/>
        </w:rPr>
        <w:t xml:space="preserve"> </w:t>
      </w:r>
      <w:r w:rsidRPr="005A6DB4">
        <w:t>CO</w:t>
      </w:r>
      <w:r w:rsidRPr="005A6DB4">
        <w:rPr>
          <w:vertAlign w:val="subscript"/>
        </w:rPr>
        <w:t>2</w:t>
      </w:r>
      <w:r>
        <w:t xml:space="preserve"> i direkta utsläpp. Jämfört med de territoriella (som endast är direkta utsläpp) som är 62 900 ton CO</w:t>
      </w:r>
      <w:r w:rsidRPr="00890339">
        <w:rPr>
          <w:vertAlign w:val="subscript"/>
        </w:rPr>
        <w:t>2</w:t>
      </w:r>
      <w:r>
        <w:t>e för hela Trollhättans kommuns geografiska område.</w:t>
      </w:r>
    </w:p>
    <w:p w14:paraId="29C43117" w14:textId="31C8F53D" w:rsidR="00DB1264" w:rsidRDefault="00DB1264" w:rsidP="00DB1264">
      <w:pPr>
        <w:pStyle w:val="Rubrik2"/>
      </w:pPr>
      <w:r>
        <w:t>Livsmedel</w:t>
      </w:r>
    </w:p>
    <w:p w14:paraId="0574E201" w14:textId="132F452D" w:rsidR="00E201A3" w:rsidRPr="00E201A3" w:rsidRDefault="00E201A3" w:rsidP="00E201A3">
      <w:r>
        <w:t>Totalt</w:t>
      </w:r>
      <w:r w:rsidR="005A6DB4">
        <w:t xml:space="preserve"> så stod stadens livsmedelsinköp för</w:t>
      </w:r>
      <w:r>
        <w:t xml:space="preserve"> 2</w:t>
      </w:r>
      <w:r w:rsidR="005A6DB4">
        <w:t> </w:t>
      </w:r>
      <w:r>
        <w:t>530</w:t>
      </w:r>
      <w:r w:rsidR="005A6DB4">
        <w:t xml:space="preserve"> ton CO</w:t>
      </w:r>
      <w:r w:rsidR="005A6DB4" w:rsidRPr="00890339">
        <w:rPr>
          <w:vertAlign w:val="subscript"/>
        </w:rPr>
        <w:t>2</w:t>
      </w:r>
      <w:r w:rsidR="005A6DB4">
        <w:t>e. Kött är tydligt den största utsläppskategorin</w:t>
      </w:r>
      <w:r w:rsidR="003C317C">
        <w:t>. Jämfört med invånarnas konsumtion på 84 000 ton CO</w:t>
      </w:r>
      <w:r w:rsidR="003C317C" w:rsidRPr="00890339">
        <w:rPr>
          <w:vertAlign w:val="subscript"/>
        </w:rPr>
        <w:t>2</w:t>
      </w:r>
      <w:r w:rsidR="003C317C">
        <w:t>e.</w:t>
      </w:r>
    </w:p>
    <w:p w14:paraId="6A707925" w14:textId="63E27213" w:rsidR="00E201A3" w:rsidRDefault="00E201A3" w:rsidP="00E201A3">
      <w:r>
        <w:rPr>
          <w:noProof/>
        </w:rPr>
        <w:lastRenderedPageBreak/>
        <w:drawing>
          <wp:inline distT="0" distB="0" distL="0" distR="0" wp14:anchorId="1D035FAE" wp14:editId="2DE3568E">
            <wp:extent cx="4859655" cy="2203450"/>
            <wp:effectExtent l="0" t="0" r="17145" b="6350"/>
            <wp:docPr id="8" name="Diagram 8" descr="Diagram som visar utsläpp kopplade till Trollhättans Stad livsmedelsköp"/>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13F1CAC" w14:textId="044EAA82" w:rsidR="00F001E6" w:rsidRPr="00F001E6" w:rsidRDefault="00F001E6" w:rsidP="00E201A3">
      <w:pPr>
        <w:rPr>
          <w:i/>
          <w:iCs/>
        </w:rPr>
      </w:pPr>
      <w:r w:rsidRPr="00E63946">
        <w:rPr>
          <w:i/>
          <w:iCs/>
        </w:rPr>
        <w:t>Diagram 1</w:t>
      </w:r>
      <w:r>
        <w:rPr>
          <w:i/>
          <w:iCs/>
        </w:rPr>
        <w:t>4</w:t>
      </w:r>
      <w:r w:rsidRPr="00E63946">
        <w:rPr>
          <w:i/>
          <w:iCs/>
        </w:rPr>
        <w:t xml:space="preserve">: </w:t>
      </w:r>
      <w:r>
        <w:rPr>
          <w:i/>
          <w:iCs/>
        </w:rPr>
        <w:t xml:space="preserve">Utsläpp från </w:t>
      </w:r>
      <w:r>
        <w:rPr>
          <w:i/>
          <w:iCs/>
        </w:rPr>
        <w:t>livsmedel som Trollhättans Stad har köpt</w:t>
      </w:r>
      <w:r>
        <w:rPr>
          <w:i/>
          <w:iCs/>
        </w:rPr>
        <w:t>. Ton CO</w:t>
      </w:r>
      <w:r w:rsidRPr="00AB788B">
        <w:rPr>
          <w:i/>
          <w:iCs/>
          <w:vertAlign w:val="subscript"/>
        </w:rPr>
        <w:t>2</w:t>
      </w:r>
      <w:r>
        <w:rPr>
          <w:i/>
          <w:iCs/>
        </w:rPr>
        <w:t>e, år 202</w:t>
      </w:r>
      <w:r>
        <w:rPr>
          <w:i/>
          <w:iCs/>
        </w:rPr>
        <w:t>3</w:t>
      </w:r>
      <w:r>
        <w:rPr>
          <w:i/>
          <w:iCs/>
        </w:rPr>
        <w:t>.</w:t>
      </w:r>
    </w:p>
    <w:sectPr w:rsidR="00F001E6" w:rsidRPr="00F001E6" w:rsidSect="009B2650">
      <w:headerReference w:type="first" r:id="rId28"/>
      <w:footerReference w:type="first" r:id="rId29"/>
      <w:type w:val="oddPage"/>
      <w:pgSz w:w="11906" w:h="16838" w:code="9"/>
      <w:pgMar w:top="2835" w:right="2552" w:bottom="1418" w:left="1701" w:header="737" w:footer="425"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6BFE5" w14:textId="77777777" w:rsidR="00531BF8" w:rsidRDefault="00531BF8" w:rsidP="00D24592">
      <w:pPr>
        <w:spacing w:after="0"/>
      </w:pPr>
      <w:r>
        <w:separator/>
      </w:r>
    </w:p>
  </w:endnote>
  <w:endnote w:type="continuationSeparator" w:id="0">
    <w:p w14:paraId="351ECF83" w14:textId="77777777" w:rsidR="00531BF8" w:rsidRDefault="00531BF8" w:rsidP="00D245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rlow">
    <w:panose1 w:val="00000500000000000000"/>
    <w:charset w:val="00"/>
    <w:family w:val="modern"/>
    <w:notTrueType/>
    <w:pitch w:val="variable"/>
    <w:sig w:usb0="00000007" w:usb1="00000000" w:usb2="00000000" w:usb3="00000000" w:csb0="00000093" w:csb1="00000000"/>
  </w:font>
  <w:font w:name="Barlow SemiBold">
    <w:panose1 w:val="000007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04622" w14:textId="77777777" w:rsidR="004E4A9D" w:rsidRPr="00E22DAD" w:rsidRDefault="004E4A9D" w:rsidP="004E4A9D">
    <w:pPr>
      <w:tabs>
        <w:tab w:val="center" w:pos="4536"/>
        <w:tab w:val="right" w:pos="8364"/>
      </w:tabs>
      <w:spacing w:after="0"/>
      <w:jc w:val="center"/>
      <w:rPr>
        <w:sz w:val="18"/>
      </w:rPr>
    </w:pPr>
    <w:r w:rsidRPr="00E22DAD">
      <w:rPr>
        <w:sz w:val="18"/>
      </w:rPr>
      <w:t xml:space="preserve">Gärdhemsvägen 9 </w:t>
    </w:r>
    <w:r w:rsidRPr="00E22DAD">
      <w:rPr>
        <w:sz w:val="18"/>
      </w:rPr>
      <w:sym w:font="Symbol" w:char="F0B7"/>
    </w:r>
    <w:r w:rsidRPr="00E22DAD">
      <w:rPr>
        <w:sz w:val="18"/>
      </w:rPr>
      <w:t xml:space="preserve"> 461 83 Trollhättan </w:t>
    </w:r>
    <w:r w:rsidRPr="00E22DAD">
      <w:rPr>
        <w:sz w:val="18"/>
      </w:rPr>
      <w:sym w:font="Symbol" w:char="F0B7"/>
    </w:r>
    <w:r w:rsidRPr="00E22DAD">
      <w:rPr>
        <w:sz w:val="18"/>
      </w:rPr>
      <w:t xml:space="preserve"> Telefon: 0520-49 50 00</w:t>
    </w:r>
  </w:p>
  <w:p w14:paraId="739D5E4D" w14:textId="1B1A9AA9" w:rsidR="00A40632" w:rsidRPr="004E4A9D" w:rsidRDefault="004E4A9D" w:rsidP="004E4A9D">
    <w:pPr>
      <w:tabs>
        <w:tab w:val="center" w:pos="4536"/>
        <w:tab w:val="right" w:pos="8364"/>
      </w:tabs>
      <w:spacing w:after="0"/>
      <w:jc w:val="center"/>
      <w:rPr>
        <w:sz w:val="18"/>
      </w:rPr>
    </w:pPr>
    <w:r w:rsidRPr="00E22DAD">
      <w:rPr>
        <w:sz w:val="18"/>
      </w:rPr>
      <w:t xml:space="preserve">trollhattans.stad@trollhattan.se </w:t>
    </w:r>
    <w:r w:rsidRPr="00E22DAD">
      <w:rPr>
        <w:sz w:val="18"/>
      </w:rPr>
      <w:sym w:font="Symbol" w:char="F0B7"/>
    </w:r>
    <w:r w:rsidRPr="00E22DAD">
      <w:rPr>
        <w:sz w:val="18"/>
      </w:rPr>
      <w:t xml:space="preserve"> www.trollhattan.se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74B38" w14:textId="72335A35" w:rsidR="00E22DAD" w:rsidRPr="00E22DAD" w:rsidRDefault="005E0143" w:rsidP="00E22DAD">
    <w:pPr>
      <w:tabs>
        <w:tab w:val="center" w:pos="4536"/>
        <w:tab w:val="right" w:pos="8364"/>
      </w:tabs>
      <w:spacing w:after="0"/>
      <w:jc w:val="center"/>
      <w:rPr>
        <w:sz w:val="18"/>
      </w:rPr>
    </w:pPr>
    <w:r>
      <w:rPr>
        <w:noProof/>
      </w:rPr>
      <w:drawing>
        <wp:inline distT="0" distB="0" distL="0" distR="0" wp14:anchorId="6782250D" wp14:editId="06D44043">
          <wp:extent cx="1469036" cy="1059812"/>
          <wp:effectExtent l="0" t="0" r="0" b="7620"/>
          <wp:docPr id="244" name="Bildobjekt 244" descr="Trollhättans Stads log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Bildobjekt 244" descr="Trollhättans Stads logga"/>
                  <pic:cNvPicPr/>
                </pic:nvPicPr>
                <pic:blipFill>
                  <a:blip r:embed="rId1">
                    <a:extLst>
                      <a:ext uri="{28A0092B-C50C-407E-A947-70E740481C1C}">
                        <a14:useLocalDpi xmlns:a14="http://schemas.microsoft.com/office/drawing/2010/main" val="0"/>
                      </a:ext>
                    </a:extLst>
                  </a:blip>
                  <a:stretch>
                    <a:fillRect/>
                  </a:stretch>
                </pic:blipFill>
                <pic:spPr>
                  <a:xfrm>
                    <a:off x="0" y="0"/>
                    <a:ext cx="1480949" cy="106840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3C849" w14:textId="77777777" w:rsidR="005E0143" w:rsidRPr="00E22DAD" w:rsidRDefault="005E0143" w:rsidP="00E22DAD">
    <w:pPr>
      <w:tabs>
        <w:tab w:val="center" w:pos="4536"/>
        <w:tab w:val="right" w:pos="8364"/>
      </w:tabs>
      <w:spacing w:after="0"/>
      <w:jc w:val="center"/>
      <w:rPr>
        <w:sz w:val="18"/>
      </w:rPr>
    </w:pPr>
    <w:r w:rsidRPr="00E22DAD">
      <w:rPr>
        <w:sz w:val="18"/>
      </w:rPr>
      <w:t xml:space="preserve">Gärdhemsvägen 9 </w:t>
    </w:r>
    <w:r w:rsidRPr="00E22DAD">
      <w:rPr>
        <w:sz w:val="18"/>
      </w:rPr>
      <w:sym w:font="Symbol" w:char="F0B7"/>
    </w:r>
    <w:r w:rsidRPr="00E22DAD">
      <w:rPr>
        <w:sz w:val="18"/>
      </w:rPr>
      <w:t xml:space="preserve"> 461 83 Trollhättan </w:t>
    </w:r>
    <w:r w:rsidRPr="00E22DAD">
      <w:rPr>
        <w:sz w:val="18"/>
      </w:rPr>
      <w:sym w:font="Symbol" w:char="F0B7"/>
    </w:r>
    <w:r w:rsidRPr="00E22DAD">
      <w:rPr>
        <w:sz w:val="18"/>
      </w:rPr>
      <w:t xml:space="preserve"> Telefon: 0520-49 50 00</w:t>
    </w:r>
  </w:p>
  <w:p w14:paraId="68D759A1" w14:textId="77777777" w:rsidR="005E0143" w:rsidRPr="00E22DAD" w:rsidRDefault="005E0143" w:rsidP="00E22DAD">
    <w:pPr>
      <w:tabs>
        <w:tab w:val="center" w:pos="4536"/>
        <w:tab w:val="right" w:pos="8364"/>
      </w:tabs>
      <w:spacing w:after="0"/>
      <w:jc w:val="center"/>
      <w:rPr>
        <w:sz w:val="18"/>
      </w:rPr>
    </w:pPr>
    <w:r w:rsidRPr="00E22DAD">
      <w:rPr>
        <w:sz w:val="18"/>
      </w:rPr>
      <w:t xml:space="preserve">trollhattans.stad@trollhattan.se </w:t>
    </w:r>
    <w:r w:rsidRPr="00E22DAD">
      <w:rPr>
        <w:sz w:val="18"/>
      </w:rPr>
      <w:sym w:font="Symbol" w:char="F0B7"/>
    </w:r>
    <w:r w:rsidRPr="00E22DAD">
      <w:rPr>
        <w:sz w:val="18"/>
      </w:rPr>
      <w:t xml:space="preserve"> www.trollhattan.se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4D7B6" w14:textId="77777777" w:rsidR="00531BF8" w:rsidRDefault="00531BF8" w:rsidP="00D24592">
      <w:pPr>
        <w:spacing w:after="0"/>
      </w:pPr>
      <w:r>
        <w:separator/>
      </w:r>
    </w:p>
  </w:footnote>
  <w:footnote w:type="continuationSeparator" w:id="0">
    <w:p w14:paraId="548A62C0" w14:textId="77777777" w:rsidR="00531BF8" w:rsidRDefault="00531BF8" w:rsidP="00D24592">
      <w:pPr>
        <w:spacing w:after="0"/>
      </w:pPr>
      <w:r>
        <w:continuationSeparator/>
      </w:r>
    </w:p>
  </w:footnote>
  <w:footnote w:id="1">
    <w:p w14:paraId="75667E11" w14:textId="77777777" w:rsidR="00524F0A" w:rsidRDefault="00524F0A" w:rsidP="00524F0A">
      <w:pPr>
        <w:pStyle w:val="Fotnotstext"/>
      </w:pPr>
      <w:r>
        <w:rPr>
          <w:rStyle w:val="Fotnotsreferens"/>
        </w:rPr>
        <w:footnoteRef/>
      </w:r>
      <w:r>
        <w:t xml:space="preserve"> Elhybrider kan endast laddas vid motorbromsning men endast går att tanka med bensin alt. diesel.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D85DD" w14:textId="77777777" w:rsidR="00AC2C9B" w:rsidRDefault="00D24592" w:rsidP="00E4314E">
    <w:pPr>
      <w:pStyle w:val="Sidfot"/>
      <w:ind w:right="-1419"/>
      <w:rPr>
        <w:bCs/>
      </w:rPr>
    </w:pPr>
    <w:r>
      <w:rPr>
        <w:noProof/>
      </w:rPr>
      <w:drawing>
        <wp:inline distT="0" distB="0" distL="0" distR="0" wp14:anchorId="052EF47D" wp14:editId="75661009">
          <wp:extent cx="1800000" cy="608400"/>
          <wp:effectExtent l="0" t="0" r="0" b="1270"/>
          <wp:docPr id="133" name="Bildobjekt 133" descr="Logotyp Trollhättans S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000" cy="608400"/>
                  </a:xfrm>
                  <a:prstGeom prst="rect">
                    <a:avLst/>
                  </a:prstGeom>
                  <a:noFill/>
                  <a:ln>
                    <a:noFill/>
                  </a:ln>
                </pic:spPr>
              </pic:pic>
            </a:graphicData>
          </a:graphic>
        </wp:inline>
      </w:drawing>
    </w:r>
    <w:r w:rsidR="00AC2C9B">
      <w:tab/>
    </w:r>
    <w:r w:rsidR="00AC2C9B">
      <w:tab/>
    </w:r>
    <w:r w:rsidR="00AC2C9B" w:rsidRPr="00A40632">
      <w:rPr>
        <w:bCs/>
      </w:rPr>
      <w:fldChar w:fldCharType="begin"/>
    </w:r>
    <w:r w:rsidR="00AC2C9B" w:rsidRPr="00A40632">
      <w:rPr>
        <w:bCs/>
      </w:rPr>
      <w:instrText>PAGE  \* Arabic  \* MERGEFORMAT</w:instrText>
    </w:r>
    <w:r w:rsidR="00AC2C9B" w:rsidRPr="00A40632">
      <w:rPr>
        <w:bCs/>
      </w:rPr>
      <w:fldChar w:fldCharType="separate"/>
    </w:r>
    <w:r w:rsidR="00AC2C9B">
      <w:rPr>
        <w:bCs/>
      </w:rPr>
      <w:t>1</w:t>
    </w:r>
    <w:r w:rsidR="00AC2C9B" w:rsidRPr="00A40632">
      <w:rPr>
        <w:bCs/>
      </w:rPr>
      <w:fldChar w:fldCharType="end"/>
    </w:r>
    <w:r w:rsidR="00AC2C9B" w:rsidRPr="00A40632">
      <w:t xml:space="preserve"> (</w:t>
    </w:r>
    <w:r w:rsidR="00AC2C9B" w:rsidRPr="00A40632">
      <w:rPr>
        <w:bCs/>
      </w:rPr>
      <w:fldChar w:fldCharType="begin"/>
    </w:r>
    <w:r w:rsidR="00AC2C9B" w:rsidRPr="00A40632">
      <w:rPr>
        <w:bCs/>
      </w:rPr>
      <w:instrText>NUMPAGES  \* Arabic  \* MERGEFORMAT</w:instrText>
    </w:r>
    <w:r w:rsidR="00AC2C9B" w:rsidRPr="00A40632">
      <w:rPr>
        <w:bCs/>
      </w:rPr>
      <w:fldChar w:fldCharType="separate"/>
    </w:r>
    <w:r w:rsidR="00AC2C9B">
      <w:rPr>
        <w:bCs/>
      </w:rPr>
      <w:t>1</w:t>
    </w:r>
    <w:r w:rsidR="00AC2C9B" w:rsidRPr="00A40632">
      <w:rPr>
        <w:bCs/>
      </w:rPr>
      <w:fldChar w:fldCharType="end"/>
    </w:r>
    <w:r w:rsidR="00AC2C9B" w:rsidRPr="00A40632">
      <w:rPr>
        <w:bCs/>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42CCD" w14:textId="4E7573BB" w:rsidR="005E0143" w:rsidRPr="00E22DAD" w:rsidRDefault="005E0143" w:rsidP="00E4314E">
    <w:pPr>
      <w:pStyle w:val="Sidfot"/>
      <w:ind w:right="-1419"/>
      <w:rPr>
        <w:bCs/>
      </w:rPr>
    </w:pPr>
    <w:r>
      <w:rPr>
        <w:noProof/>
      </w:rPr>
      <w:drawing>
        <wp:inline distT="0" distB="0" distL="0" distR="0" wp14:anchorId="17B20A55" wp14:editId="24431701">
          <wp:extent cx="1800000" cy="608400"/>
          <wp:effectExtent l="0" t="0" r="0" b="1270"/>
          <wp:docPr id="1" name="Bildobjekt 1" descr="Logotyp Trollhättans S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000" cy="608400"/>
                  </a:xfrm>
                  <a:prstGeom prst="rect">
                    <a:avLst/>
                  </a:prstGeom>
                  <a:noFill/>
                  <a:ln>
                    <a:noFill/>
                  </a:ln>
                </pic:spPr>
              </pic:pic>
            </a:graphicData>
          </a:graphic>
        </wp:inline>
      </w:drawing>
    </w:r>
    <w:r>
      <w:tab/>
    </w:r>
    <w:r>
      <w:tab/>
    </w:r>
    <w:r w:rsidR="009C4741">
      <w:rPr>
        <w:bCs/>
      </w:rPr>
      <w:fldChar w:fldCharType="begin"/>
    </w:r>
    <w:r w:rsidR="009C4741">
      <w:rPr>
        <w:bCs/>
      </w:rPr>
      <w:instrText xml:space="preserve"> PAGE  \* Arabic  \* MERGEFORMAT </w:instrText>
    </w:r>
    <w:r w:rsidR="009C4741">
      <w:rPr>
        <w:bCs/>
      </w:rPr>
      <w:fldChar w:fldCharType="separate"/>
    </w:r>
    <w:r w:rsidR="009C4741">
      <w:rPr>
        <w:bCs/>
        <w:noProof/>
      </w:rPr>
      <w:t>2</w:t>
    </w:r>
    <w:r w:rsidR="009C4741">
      <w:rPr>
        <w:bCs/>
      </w:rPr>
      <w:fldChar w:fldCharType="end"/>
    </w:r>
    <w:r w:rsidRPr="00A40632">
      <w:t xml:space="preserve"> (</w:t>
    </w:r>
    <w:r w:rsidRPr="00A40632">
      <w:rPr>
        <w:bCs/>
      </w:rPr>
      <w:fldChar w:fldCharType="begin"/>
    </w:r>
    <w:r w:rsidRPr="00A40632">
      <w:rPr>
        <w:bCs/>
      </w:rPr>
      <w:instrText>NUMPAGES  \* Arabic  \* MERGEFORMAT</w:instrText>
    </w:r>
    <w:r w:rsidRPr="00A40632">
      <w:rPr>
        <w:bCs/>
      </w:rPr>
      <w:fldChar w:fldCharType="separate"/>
    </w:r>
    <w:r>
      <w:rPr>
        <w:bCs/>
      </w:rPr>
      <w:t>2</w:t>
    </w:r>
    <w:r w:rsidRPr="00A40632">
      <w:rPr>
        <w:bCs/>
      </w:rPr>
      <w:fldChar w:fldCharType="end"/>
    </w:r>
    <w:r w:rsidRPr="00A40632">
      <w:rPr>
        <w:bCs/>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362EB"/>
    <w:multiLevelType w:val="hybridMultilevel"/>
    <w:tmpl w:val="236659D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0B11362C"/>
    <w:multiLevelType w:val="hybridMultilevel"/>
    <w:tmpl w:val="638206A8"/>
    <w:lvl w:ilvl="0" w:tplc="AFD89AFC">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E9757C8"/>
    <w:multiLevelType w:val="hybridMultilevel"/>
    <w:tmpl w:val="FC366C8A"/>
    <w:lvl w:ilvl="0" w:tplc="458A1D06">
      <w:start w:val="1"/>
      <w:numFmt w:val="decimal"/>
      <w:pStyle w:val="Liststycke"/>
      <w:lvlText w:val="§ %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1AB12165"/>
    <w:multiLevelType w:val="hybridMultilevel"/>
    <w:tmpl w:val="C1D0F6E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E442709"/>
    <w:multiLevelType w:val="hybridMultilevel"/>
    <w:tmpl w:val="B47C7318"/>
    <w:lvl w:ilvl="0" w:tplc="BFB4EDBA">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21C1E32"/>
    <w:multiLevelType w:val="hybridMultilevel"/>
    <w:tmpl w:val="117E65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8FD1433"/>
    <w:multiLevelType w:val="hybridMultilevel"/>
    <w:tmpl w:val="3BFE0BA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633B273C"/>
    <w:multiLevelType w:val="hybridMultilevel"/>
    <w:tmpl w:val="D188F1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73554ECC"/>
    <w:multiLevelType w:val="hybridMultilevel"/>
    <w:tmpl w:val="76A406C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177648001">
    <w:abstractNumId w:val="4"/>
  </w:num>
  <w:num w:numId="2" w16cid:durableId="1501047796">
    <w:abstractNumId w:val="0"/>
  </w:num>
  <w:num w:numId="3" w16cid:durableId="209996373">
    <w:abstractNumId w:val="5"/>
  </w:num>
  <w:num w:numId="4" w16cid:durableId="1290746999">
    <w:abstractNumId w:val="6"/>
  </w:num>
  <w:num w:numId="5" w16cid:durableId="1225529318">
    <w:abstractNumId w:val="8"/>
  </w:num>
  <w:num w:numId="6" w16cid:durableId="1009407400">
    <w:abstractNumId w:val="7"/>
  </w:num>
  <w:num w:numId="7" w16cid:durableId="927494578">
    <w:abstractNumId w:val="3"/>
  </w:num>
  <w:num w:numId="8" w16cid:durableId="2062511665">
    <w:abstractNumId w:val="1"/>
  </w:num>
  <w:num w:numId="9" w16cid:durableId="5218247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CA0"/>
    <w:rsid w:val="00007ADC"/>
    <w:rsid w:val="0003253B"/>
    <w:rsid w:val="000348D5"/>
    <w:rsid w:val="00052DAD"/>
    <w:rsid w:val="0006288D"/>
    <w:rsid w:val="000B0688"/>
    <w:rsid w:val="000F602A"/>
    <w:rsid w:val="000F663D"/>
    <w:rsid w:val="00113B11"/>
    <w:rsid w:val="00147392"/>
    <w:rsid w:val="001516E0"/>
    <w:rsid w:val="00156D94"/>
    <w:rsid w:val="00212E78"/>
    <w:rsid w:val="00225020"/>
    <w:rsid w:val="00263AD7"/>
    <w:rsid w:val="00266041"/>
    <w:rsid w:val="00277CB9"/>
    <w:rsid w:val="00292713"/>
    <w:rsid w:val="002B5CA9"/>
    <w:rsid w:val="002C4425"/>
    <w:rsid w:val="002F7EDC"/>
    <w:rsid w:val="003117BF"/>
    <w:rsid w:val="00350654"/>
    <w:rsid w:val="0035456B"/>
    <w:rsid w:val="00392219"/>
    <w:rsid w:val="003A4FD7"/>
    <w:rsid w:val="003A6C79"/>
    <w:rsid w:val="003C317C"/>
    <w:rsid w:val="003D5994"/>
    <w:rsid w:val="0043359A"/>
    <w:rsid w:val="004437CC"/>
    <w:rsid w:val="0046287B"/>
    <w:rsid w:val="00466C7B"/>
    <w:rsid w:val="00474E62"/>
    <w:rsid w:val="004A27AD"/>
    <w:rsid w:val="004A303B"/>
    <w:rsid w:val="004C7A4F"/>
    <w:rsid w:val="004E4A9D"/>
    <w:rsid w:val="00524F0A"/>
    <w:rsid w:val="005267DC"/>
    <w:rsid w:val="00531BF8"/>
    <w:rsid w:val="00556801"/>
    <w:rsid w:val="005A1CD2"/>
    <w:rsid w:val="005A6DB4"/>
    <w:rsid w:val="005D2FAA"/>
    <w:rsid w:val="005D5498"/>
    <w:rsid w:val="005E0143"/>
    <w:rsid w:val="00610D75"/>
    <w:rsid w:val="00664DFE"/>
    <w:rsid w:val="00696F77"/>
    <w:rsid w:val="006A6020"/>
    <w:rsid w:val="006C15FB"/>
    <w:rsid w:val="006F1A0C"/>
    <w:rsid w:val="006F5AD0"/>
    <w:rsid w:val="006F5CA0"/>
    <w:rsid w:val="007D4D9B"/>
    <w:rsid w:val="007D759A"/>
    <w:rsid w:val="007F1E8F"/>
    <w:rsid w:val="00847477"/>
    <w:rsid w:val="00875D28"/>
    <w:rsid w:val="00890339"/>
    <w:rsid w:val="008A2A98"/>
    <w:rsid w:val="008C70D4"/>
    <w:rsid w:val="008E2B9A"/>
    <w:rsid w:val="008F177D"/>
    <w:rsid w:val="009023A8"/>
    <w:rsid w:val="00911FF9"/>
    <w:rsid w:val="0091673C"/>
    <w:rsid w:val="00923ABA"/>
    <w:rsid w:val="009347A4"/>
    <w:rsid w:val="00956810"/>
    <w:rsid w:val="00994EBE"/>
    <w:rsid w:val="009B2650"/>
    <w:rsid w:val="009B39F5"/>
    <w:rsid w:val="009C4741"/>
    <w:rsid w:val="009E3C16"/>
    <w:rsid w:val="00A06010"/>
    <w:rsid w:val="00A17653"/>
    <w:rsid w:val="00A25279"/>
    <w:rsid w:val="00A33F5D"/>
    <w:rsid w:val="00A40632"/>
    <w:rsid w:val="00A45F12"/>
    <w:rsid w:val="00A4663A"/>
    <w:rsid w:val="00A95149"/>
    <w:rsid w:val="00AA6E3E"/>
    <w:rsid w:val="00AB788B"/>
    <w:rsid w:val="00AC2C9B"/>
    <w:rsid w:val="00AF6A66"/>
    <w:rsid w:val="00B2548E"/>
    <w:rsid w:val="00B43E8E"/>
    <w:rsid w:val="00B67B57"/>
    <w:rsid w:val="00B90A7A"/>
    <w:rsid w:val="00BC42D2"/>
    <w:rsid w:val="00BD6833"/>
    <w:rsid w:val="00BF5E8A"/>
    <w:rsid w:val="00C10C29"/>
    <w:rsid w:val="00C378A9"/>
    <w:rsid w:val="00C46120"/>
    <w:rsid w:val="00C61817"/>
    <w:rsid w:val="00C715A2"/>
    <w:rsid w:val="00C77D41"/>
    <w:rsid w:val="00CA55A2"/>
    <w:rsid w:val="00CC589A"/>
    <w:rsid w:val="00CD5D3E"/>
    <w:rsid w:val="00D24592"/>
    <w:rsid w:val="00D43A69"/>
    <w:rsid w:val="00D603A0"/>
    <w:rsid w:val="00DB1264"/>
    <w:rsid w:val="00DC722A"/>
    <w:rsid w:val="00DE2DD2"/>
    <w:rsid w:val="00E13823"/>
    <w:rsid w:val="00E201A3"/>
    <w:rsid w:val="00E22DAD"/>
    <w:rsid w:val="00E26498"/>
    <w:rsid w:val="00E426BB"/>
    <w:rsid w:val="00E4314E"/>
    <w:rsid w:val="00E566DA"/>
    <w:rsid w:val="00E63946"/>
    <w:rsid w:val="00E73493"/>
    <w:rsid w:val="00E94C22"/>
    <w:rsid w:val="00F001E6"/>
    <w:rsid w:val="00F369F9"/>
    <w:rsid w:val="00F46175"/>
    <w:rsid w:val="00F9780A"/>
    <w:rsid w:val="00FE43B6"/>
    <w:rsid w:val="00FE6C2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4D10DE"/>
  <w15:chartTrackingRefBased/>
  <w15:docId w15:val="{DF18FAC3-2EA4-4B0F-85E1-6DE33CCBE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3B11"/>
    <w:pPr>
      <w:spacing w:line="276" w:lineRule="auto"/>
    </w:pPr>
  </w:style>
  <w:style w:type="paragraph" w:styleId="Rubrik1">
    <w:name w:val="heading 1"/>
    <w:basedOn w:val="Normal"/>
    <w:next w:val="Normal"/>
    <w:link w:val="Rubrik1Char"/>
    <w:uiPriority w:val="9"/>
    <w:qFormat/>
    <w:rsid w:val="00956810"/>
    <w:pPr>
      <w:keepNext/>
      <w:keepLines/>
      <w:spacing w:before="360" w:after="120"/>
      <w:outlineLvl w:val="0"/>
    </w:pPr>
    <w:rPr>
      <w:rFonts w:asciiTheme="majorHAnsi" w:eastAsiaTheme="majorEastAsia" w:hAnsiTheme="majorHAnsi" w:cstheme="majorBidi"/>
      <w:b/>
      <w:sz w:val="40"/>
      <w:szCs w:val="32"/>
    </w:rPr>
  </w:style>
  <w:style w:type="paragraph" w:styleId="Rubrik2">
    <w:name w:val="heading 2"/>
    <w:basedOn w:val="Normal"/>
    <w:next w:val="Normal"/>
    <w:link w:val="Rubrik2Char"/>
    <w:uiPriority w:val="9"/>
    <w:unhideWhenUsed/>
    <w:qFormat/>
    <w:rsid w:val="00113B11"/>
    <w:pPr>
      <w:keepNext/>
      <w:keepLines/>
      <w:spacing w:before="240" w:after="120"/>
      <w:outlineLvl w:val="1"/>
    </w:pPr>
    <w:rPr>
      <w:rFonts w:asciiTheme="majorHAnsi" w:eastAsiaTheme="majorEastAsia" w:hAnsiTheme="majorHAnsi" w:cstheme="majorBidi"/>
      <w:b/>
      <w:sz w:val="32"/>
      <w:szCs w:val="26"/>
    </w:rPr>
  </w:style>
  <w:style w:type="paragraph" w:styleId="Rubrik3">
    <w:name w:val="heading 3"/>
    <w:basedOn w:val="Normal"/>
    <w:next w:val="Normal"/>
    <w:link w:val="Rubrik3Char"/>
    <w:uiPriority w:val="9"/>
    <w:unhideWhenUsed/>
    <w:qFormat/>
    <w:rsid w:val="00277CB9"/>
    <w:pPr>
      <w:keepNext/>
      <w:keepLines/>
      <w:spacing w:before="180" w:after="120"/>
      <w:outlineLvl w:val="2"/>
    </w:pPr>
    <w:rPr>
      <w:rFonts w:asciiTheme="majorHAnsi" w:eastAsiaTheme="majorEastAsia" w:hAnsiTheme="majorHAnsi" w:cstheme="majorBidi"/>
      <w:b/>
      <w:sz w:val="32"/>
      <w:szCs w:val="24"/>
    </w:rPr>
  </w:style>
  <w:style w:type="paragraph" w:styleId="Rubrik4">
    <w:name w:val="heading 4"/>
    <w:basedOn w:val="Normal"/>
    <w:next w:val="Normal"/>
    <w:link w:val="Rubrik4Char"/>
    <w:uiPriority w:val="9"/>
    <w:unhideWhenUsed/>
    <w:qFormat/>
    <w:rsid w:val="00277CB9"/>
    <w:pPr>
      <w:keepNext/>
      <w:keepLines/>
      <w:spacing w:before="180" w:after="120"/>
      <w:outlineLvl w:val="3"/>
    </w:pPr>
    <w:rPr>
      <w:rFonts w:asciiTheme="majorHAnsi" w:eastAsiaTheme="majorEastAsia" w:hAnsiTheme="majorHAnsi" w:cstheme="majorBidi"/>
      <w:b/>
      <w:iCs/>
    </w:rPr>
  </w:style>
  <w:style w:type="paragraph" w:styleId="Rubrik5">
    <w:name w:val="heading 5"/>
    <w:basedOn w:val="Normal"/>
    <w:next w:val="Normal"/>
    <w:link w:val="Rubrik5Char"/>
    <w:uiPriority w:val="9"/>
    <w:unhideWhenUsed/>
    <w:rsid w:val="005267DC"/>
    <w:pPr>
      <w:keepNext/>
      <w:keepLines/>
      <w:spacing w:before="40" w:after="0"/>
      <w:outlineLvl w:val="4"/>
    </w:pPr>
    <w:rPr>
      <w:rFonts w:asciiTheme="majorHAnsi" w:eastAsiaTheme="majorEastAsia" w:hAnsiTheme="majorHAnsi" w:cstheme="majorBidi"/>
    </w:rPr>
  </w:style>
  <w:style w:type="paragraph" w:styleId="Rubrik6">
    <w:name w:val="heading 6"/>
    <w:basedOn w:val="Normal"/>
    <w:next w:val="Normal"/>
    <w:link w:val="Rubrik6Char"/>
    <w:uiPriority w:val="9"/>
    <w:unhideWhenUsed/>
    <w:rsid w:val="005267DC"/>
    <w:pPr>
      <w:keepNext/>
      <w:keepLines/>
      <w:spacing w:before="40" w:after="0"/>
      <w:outlineLvl w:val="5"/>
    </w:pPr>
    <w:rPr>
      <w:rFonts w:asciiTheme="majorHAnsi" w:eastAsiaTheme="majorEastAsia" w:hAnsiTheme="majorHAnsi" w:cstheme="majorBidi"/>
    </w:rPr>
  </w:style>
  <w:style w:type="paragraph" w:styleId="Rubrik7">
    <w:name w:val="heading 7"/>
    <w:basedOn w:val="Rubrik6"/>
    <w:next w:val="Normal"/>
    <w:link w:val="Rubrik7Char"/>
    <w:uiPriority w:val="9"/>
    <w:unhideWhenUsed/>
    <w:rsid w:val="005267DC"/>
    <w:pPr>
      <w:outlineLvl w:val="6"/>
    </w:pPr>
  </w:style>
  <w:style w:type="paragraph" w:styleId="Rubrik8">
    <w:name w:val="heading 8"/>
    <w:basedOn w:val="Normal"/>
    <w:next w:val="Normal"/>
    <w:link w:val="Rubrik8Char"/>
    <w:uiPriority w:val="9"/>
    <w:unhideWhenUsed/>
    <w:rsid w:val="005267DC"/>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Rubrik9">
    <w:name w:val="heading 9"/>
    <w:basedOn w:val="Normal"/>
    <w:next w:val="Normal"/>
    <w:link w:val="Rubrik9Char"/>
    <w:uiPriority w:val="9"/>
    <w:unhideWhenUsed/>
    <w:rsid w:val="005267DC"/>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956810"/>
    <w:rPr>
      <w:rFonts w:asciiTheme="majorHAnsi" w:eastAsiaTheme="majorEastAsia" w:hAnsiTheme="majorHAnsi" w:cstheme="majorBidi"/>
      <w:b/>
      <w:sz w:val="40"/>
      <w:szCs w:val="32"/>
    </w:rPr>
  </w:style>
  <w:style w:type="character" w:customStyle="1" w:styleId="Rubrik2Char">
    <w:name w:val="Rubrik 2 Char"/>
    <w:basedOn w:val="Standardstycketeckensnitt"/>
    <w:link w:val="Rubrik2"/>
    <w:uiPriority w:val="9"/>
    <w:rsid w:val="00113B11"/>
    <w:rPr>
      <w:rFonts w:asciiTheme="majorHAnsi" w:eastAsiaTheme="majorEastAsia" w:hAnsiTheme="majorHAnsi" w:cstheme="majorBidi"/>
      <w:b/>
      <w:sz w:val="32"/>
      <w:szCs w:val="26"/>
    </w:rPr>
  </w:style>
  <w:style w:type="paragraph" w:styleId="Rubrik">
    <w:name w:val="Title"/>
    <w:basedOn w:val="Normal"/>
    <w:next w:val="Normal"/>
    <w:link w:val="RubrikChar"/>
    <w:uiPriority w:val="10"/>
    <w:rsid w:val="00277CB9"/>
    <w:pPr>
      <w:spacing w:after="0"/>
      <w:contextualSpacing/>
    </w:pPr>
    <w:rPr>
      <w:rFonts w:asciiTheme="majorHAnsi" w:eastAsiaTheme="majorEastAsia" w:hAnsiTheme="majorHAnsi" w:cstheme="majorBidi"/>
      <w:b/>
      <w:spacing w:val="-10"/>
      <w:kern w:val="28"/>
      <w:sz w:val="48"/>
      <w:szCs w:val="56"/>
    </w:rPr>
  </w:style>
  <w:style w:type="character" w:customStyle="1" w:styleId="RubrikChar">
    <w:name w:val="Rubrik Char"/>
    <w:basedOn w:val="Standardstycketeckensnitt"/>
    <w:link w:val="Rubrik"/>
    <w:uiPriority w:val="10"/>
    <w:rsid w:val="00277CB9"/>
    <w:rPr>
      <w:rFonts w:asciiTheme="majorHAnsi" w:eastAsiaTheme="majorEastAsia" w:hAnsiTheme="majorHAnsi" w:cstheme="majorBidi"/>
      <w:b/>
      <w:spacing w:val="-10"/>
      <w:kern w:val="28"/>
      <w:sz w:val="48"/>
      <w:szCs w:val="56"/>
    </w:rPr>
  </w:style>
  <w:style w:type="character" w:customStyle="1" w:styleId="Rubrik3Char">
    <w:name w:val="Rubrik 3 Char"/>
    <w:basedOn w:val="Standardstycketeckensnitt"/>
    <w:link w:val="Rubrik3"/>
    <w:uiPriority w:val="9"/>
    <w:rsid w:val="00277CB9"/>
    <w:rPr>
      <w:rFonts w:asciiTheme="majorHAnsi" w:eastAsiaTheme="majorEastAsia" w:hAnsiTheme="majorHAnsi" w:cstheme="majorBidi"/>
      <w:b/>
      <w:sz w:val="32"/>
      <w:szCs w:val="24"/>
    </w:rPr>
  </w:style>
  <w:style w:type="character" w:customStyle="1" w:styleId="Rubrik4Char">
    <w:name w:val="Rubrik 4 Char"/>
    <w:basedOn w:val="Standardstycketeckensnitt"/>
    <w:link w:val="Rubrik4"/>
    <w:uiPriority w:val="9"/>
    <w:rsid w:val="00277CB9"/>
    <w:rPr>
      <w:rFonts w:asciiTheme="majorHAnsi" w:eastAsiaTheme="majorEastAsia" w:hAnsiTheme="majorHAnsi" w:cstheme="majorBidi"/>
      <w:b/>
      <w:iCs/>
      <w:sz w:val="24"/>
    </w:rPr>
  </w:style>
  <w:style w:type="character" w:customStyle="1" w:styleId="Rubrik5Char">
    <w:name w:val="Rubrik 5 Char"/>
    <w:basedOn w:val="Standardstycketeckensnitt"/>
    <w:link w:val="Rubrik5"/>
    <w:uiPriority w:val="9"/>
    <w:rsid w:val="005267DC"/>
    <w:rPr>
      <w:rFonts w:asciiTheme="majorHAnsi" w:eastAsiaTheme="majorEastAsia" w:hAnsiTheme="majorHAnsi" w:cstheme="majorBidi"/>
    </w:rPr>
  </w:style>
  <w:style w:type="character" w:customStyle="1" w:styleId="Rubrik6Char">
    <w:name w:val="Rubrik 6 Char"/>
    <w:basedOn w:val="Standardstycketeckensnitt"/>
    <w:link w:val="Rubrik6"/>
    <w:uiPriority w:val="9"/>
    <w:rsid w:val="005267DC"/>
    <w:rPr>
      <w:rFonts w:asciiTheme="majorHAnsi" w:eastAsiaTheme="majorEastAsia" w:hAnsiTheme="majorHAnsi" w:cstheme="majorBidi"/>
    </w:rPr>
  </w:style>
  <w:style w:type="character" w:customStyle="1" w:styleId="Rubrik7Char">
    <w:name w:val="Rubrik 7 Char"/>
    <w:basedOn w:val="Standardstycketeckensnitt"/>
    <w:link w:val="Rubrik7"/>
    <w:uiPriority w:val="9"/>
    <w:rsid w:val="005267DC"/>
    <w:rPr>
      <w:rFonts w:asciiTheme="majorHAnsi" w:eastAsiaTheme="majorEastAsia" w:hAnsiTheme="majorHAnsi" w:cstheme="majorBidi"/>
    </w:rPr>
  </w:style>
  <w:style w:type="character" w:customStyle="1" w:styleId="Rubrik8Char">
    <w:name w:val="Rubrik 8 Char"/>
    <w:basedOn w:val="Standardstycketeckensnitt"/>
    <w:link w:val="Rubrik8"/>
    <w:uiPriority w:val="9"/>
    <w:rsid w:val="005267DC"/>
    <w:rPr>
      <w:rFonts w:asciiTheme="majorHAnsi" w:eastAsiaTheme="majorEastAsia" w:hAnsiTheme="majorHAnsi" w:cstheme="majorBidi"/>
      <w:color w:val="272727" w:themeColor="text1" w:themeTint="D8"/>
      <w:szCs w:val="21"/>
    </w:rPr>
  </w:style>
  <w:style w:type="character" w:customStyle="1" w:styleId="Rubrik9Char">
    <w:name w:val="Rubrik 9 Char"/>
    <w:basedOn w:val="Standardstycketeckensnitt"/>
    <w:link w:val="Rubrik9"/>
    <w:uiPriority w:val="9"/>
    <w:rsid w:val="005267DC"/>
    <w:rPr>
      <w:rFonts w:asciiTheme="majorHAnsi" w:eastAsiaTheme="majorEastAsia" w:hAnsiTheme="majorHAnsi" w:cstheme="majorBidi"/>
      <w:i/>
      <w:iCs/>
      <w:color w:val="272727" w:themeColor="text1" w:themeTint="D8"/>
      <w:szCs w:val="21"/>
    </w:rPr>
  </w:style>
  <w:style w:type="paragraph" w:styleId="Liststycke">
    <w:name w:val="List Paragraph"/>
    <w:basedOn w:val="Normal"/>
    <w:uiPriority w:val="34"/>
    <w:qFormat/>
    <w:rsid w:val="00A4663A"/>
    <w:pPr>
      <w:numPr>
        <w:numId w:val="9"/>
      </w:numPr>
      <w:spacing w:after="0"/>
      <w:ind w:left="567" w:hanging="567"/>
      <w:contextualSpacing/>
    </w:pPr>
    <w:rPr>
      <w:b/>
      <w:bCs/>
      <w:szCs w:val="20"/>
    </w:rPr>
  </w:style>
  <w:style w:type="paragraph" w:styleId="Ingetavstnd">
    <w:name w:val="No Spacing"/>
    <w:link w:val="IngetavstndChar"/>
    <w:uiPriority w:val="1"/>
    <w:qFormat/>
    <w:rsid w:val="00E426BB"/>
    <w:pPr>
      <w:spacing w:after="0" w:line="240" w:lineRule="auto"/>
    </w:pPr>
  </w:style>
  <w:style w:type="paragraph" w:styleId="Sidhuvud">
    <w:name w:val="header"/>
    <w:basedOn w:val="Normal"/>
    <w:link w:val="SidhuvudChar"/>
    <w:uiPriority w:val="99"/>
    <w:unhideWhenUsed/>
    <w:rsid w:val="00D24592"/>
    <w:pPr>
      <w:tabs>
        <w:tab w:val="center" w:pos="4536"/>
        <w:tab w:val="right" w:pos="9072"/>
      </w:tabs>
      <w:spacing w:after="0"/>
    </w:pPr>
  </w:style>
  <w:style w:type="character" w:customStyle="1" w:styleId="SidhuvudChar">
    <w:name w:val="Sidhuvud Char"/>
    <w:basedOn w:val="Standardstycketeckensnitt"/>
    <w:link w:val="Sidhuvud"/>
    <w:uiPriority w:val="99"/>
    <w:rsid w:val="00D24592"/>
  </w:style>
  <w:style w:type="paragraph" w:styleId="Sidfot">
    <w:name w:val="footer"/>
    <w:basedOn w:val="Normal"/>
    <w:link w:val="SidfotChar"/>
    <w:uiPriority w:val="99"/>
    <w:unhideWhenUsed/>
    <w:rsid w:val="00D24592"/>
    <w:pPr>
      <w:tabs>
        <w:tab w:val="center" w:pos="4536"/>
        <w:tab w:val="right" w:pos="9072"/>
      </w:tabs>
      <w:spacing w:after="0"/>
    </w:pPr>
  </w:style>
  <w:style w:type="character" w:customStyle="1" w:styleId="SidfotChar">
    <w:name w:val="Sidfot Char"/>
    <w:basedOn w:val="Standardstycketeckensnitt"/>
    <w:link w:val="Sidfot"/>
    <w:uiPriority w:val="99"/>
    <w:rsid w:val="00D24592"/>
  </w:style>
  <w:style w:type="table" w:styleId="Tabellrutnt">
    <w:name w:val="Table Grid"/>
    <w:basedOn w:val="Normaltabell"/>
    <w:uiPriority w:val="39"/>
    <w:rsid w:val="00994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xt">
    <w:name w:val="Body Text"/>
    <w:basedOn w:val="Normal"/>
    <w:link w:val="BrdtextChar"/>
    <w:rsid w:val="00E22DAD"/>
    <w:pPr>
      <w:spacing w:after="120"/>
    </w:pPr>
    <w:rPr>
      <w:rFonts w:eastAsia="Times New Roman" w:cs="Times New Roman"/>
      <w:szCs w:val="20"/>
      <w:lang w:val="x-none" w:eastAsia="x-none"/>
    </w:rPr>
  </w:style>
  <w:style w:type="character" w:customStyle="1" w:styleId="BrdtextChar">
    <w:name w:val="Brödtext Char"/>
    <w:basedOn w:val="Standardstycketeckensnitt"/>
    <w:link w:val="Brdtext"/>
    <w:rsid w:val="00E22DAD"/>
    <w:rPr>
      <w:rFonts w:eastAsia="Times New Roman" w:cs="Times New Roman"/>
      <w:szCs w:val="20"/>
      <w:lang w:val="x-none" w:eastAsia="x-none"/>
    </w:rPr>
  </w:style>
  <w:style w:type="character" w:customStyle="1" w:styleId="IngetavstndChar">
    <w:name w:val="Inget avstånd Char"/>
    <w:basedOn w:val="Standardstycketeckensnitt"/>
    <w:link w:val="Ingetavstnd"/>
    <w:uiPriority w:val="1"/>
    <w:rsid w:val="005E0143"/>
  </w:style>
  <w:style w:type="paragraph" w:styleId="Innehllsfrteckningsrubrik">
    <w:name w:val="TOC Heading"/>
    <w:basedOn w:val="Rubrik1"/>
    <w:next w:val="Normal"/>
    <w:uiPriority w:val="39"/>
    <w:unhideWhenUsed/>
    <w:qFormat/>
    <w:rsid w:val="005E0143"/>
    <w:pPr>
      <w:spacing w:before="240" w:after="0" w:line="259" w:lineRule="auto"/>
      <w:outlineLvl w:val="9"/>
    </w:pPr>
    <w:rPr>
      <w:b w:val="0"/>
      <w:color w:val="1E1E1E" w:themeColor="accent1" w:themeShade="BF"/>
      <w:sz w:val="32"/>
      <w:lang w:eastAsia="sv-SE"/>
    </w:rPr>
  </w:style>
  <w:style w:type="paragraph" w:styleId="Innehll1">
    <w:name w:val="toc 1"/>
    <w:basedOn w:val="Normal"/>
    <w:next w:val="Normal"/>
    <w:autoRedefine/>
    <w:uiPriority w:val="39"/>
    <w:unhideWhenUsed/>
    <w:rsid w:val="005E0143"/>
    <w:pPr>
      <w:spacing w:after="100"/>
    </w:pPr>
  </w:style>
  <w:style w:type="character" w:styleId="Hyperlnk">
    <w:name w:val="Hyperlink"/>
    <w:basedOn w:val="Standardstycketeckensnitt"/>
    <w:uiPriority w:val="99"/>
    <w:unhideWhenUsed/>
    <w:rsid w:val="005E0143"/>
    <w:rPr>
      <w:color w:val="4B2D78" w:themeColor="hyperlink"/>
      <w:u w:val="single"/>
    </w:rPr>
  </w:style>
  <w:style w:type="paragraph" w:styleId="Innehll2">
    <w:name w:val="toc 2"/>
    <w:basedOn w:val="Normal"/>
    <w:next w:val="Normal"/>
    <w:autoRedefine/>
    <w:uiPriority w:val="39"/>
    <w:unhideWhenUsed/>
    <w:rsid w:val="005E0143"/>
    <w:pPr>
      <w:spacing w:after="100"/>
      <w:ind w:left="240"/>
    </w:pPr>
  </w:style>
  <w:style w:type="character" w:styleId="Radnummer">
    <w:name w:val="line number"/>
    <w:basedOn w:val="Standardstycketeckensnitt"/>
    <w:uiPriority w:val="99"/>
    <w:semiHidden/>
    <w:unhideWhenUsed/>
    <w:rsid w:val="009C4741"/>
  </w:style>
  <w:style w:type="table" w:styleId="Rutntstabell6frgstarkdekorfrg6">
    <w:name w:val="Grid Table 6 Colorful Accent 6"/>
    <w:basedOn w:val="Normaltabell"/>
    <w:uiPriority w:val="51"/>
    <w:rsid w:val="00052DAD"/>
    <w:pPr>
      <w:spacing w:after="0" w:line="240" w:lineRule="auto"/>
    </w:pPr>
    <w:rPr>
      <w:color w:val="DB1B1B" w:themeColor="accent6" w:themeShade="BF"/>
    </w:rPr>
    <w:tblPr>
      <w:tblStyleRowBandSize w:val="1"/>
      <w:tblStyleColBandSize w:val="1"/>
      <w:tblBorders>
        <w:top w:val="single" w:sz="4" w:space="0" w:color="F39F9F" w:themeColor="accent6" w:themeTint="99"/>
        <w:left w:val="single" w:sz="4" w:space="0" w:color="F39F9F" w:themeColor="accent6" w:themeTint="99"/>
        <w:bottom w:val="single" w:sz="4" w:space="0" w:color="F39F9F" w:themeColor="accent6" w:themeTint="99"/>
        <w:right w:val="single" w:sz="4" w:space="0" w:color="F39F9F" w:themeColor="accent6" w:themeTint="99"/>
        <w:insideH w:val="single" w:sz="4" w:space="0" w:color="F39F9F" w:themeColor="accent6" w:themeTint="99"/>
        <w:insideV w:val="single" w:sz="4" w:space="0" w:color="F39F9F" w:themeColor="accent6" w:themeTint="99"/>
      </w:tblBorders>
    </w:tblPr>
    <w:tblStylePr w:type="firstRow">
      <w:rPr>
        <w:b/>
        <w:bCs/>
      </w:rPr>
      <w:tblPr/>
      <w:tcPr>
        <w:tcBorders>
          <w:bottom w:val="single" w:sz="12" w:space="0" w:color="F39F9F" w:themeColor="accent6" w:themeTint="99"/>
        </w:tcBorders>
      </w:tcPr>
    </w:tblStylePr>
    <w:tblStylePr w:type="lastRow">
      <w:rPr>
        <w:b/>
        <w:bCs/>
      </w:rPr>
      <w:tblPr/>
      <w:tcPr>
        <w:tcBorders>
          <w:top w:val="double" w:sz="4" w:space="0" w:color="F39F9F" w:themeColor="accent6" w:themeTint="99"/>
        </w:tcBorders>
      </w:tcPr>
    </w:tblStylePr>
    <w:tblStylePr w:type="firstCol">
      <w:rPr>
        <w:b/>
        <w:bCs/>
      </w:rPr>
    </w:tblStylePr>
    <w:tblStylePr w:type="lastCol">
      <w:rPr>
        <w:b/>
        <w:bCs/>
      </w:rPr>
    </w:tblStylePr>
    <w:tblStylePr w:type="band1Vert">
      <w:tblPr/>
      <w:tcPr>
        <w:shd w:val="clear" w:color="auto" w:fill="FBDFDF" w:themeFill="accent6" w:themeFillTint="33"/>
      </w:tcPr>
    </w:tblStylePr>
    <w:tblStylePr w:type="band1Horz">
      <w:tblPr/>
      <w:tcPr>
        <w:shd w:val="clear" w:color="auto" w:fill="FBDFDF" w:themeFill="accent6" w:themeFillTint="33"/>
      </w:tcPr>
    </w:tblStylePr>
  </w:style>
  <w:style w:type="table" w:styleId="Rutntstabell1ljusdekorfrg6">
    <w:name w:val="Grid Table 1 Light Accent 6"/>
    <w:basedOn w:val="Normaltabell"/>
    <w:uiPriority w:val="46"/>
    <w:rsid w:val="00052DAD"/>
    <w:pPr>
      <w:spacing w:after="0" w:line="240" w:lineRule="auto"/>
    </w:pPr>
    <w:tblPr>
      <w:tblStyleRowBandSize w:val="1"/>
      <w:tblStyleColBandSize w:val="1"/>
      <w:tblBorders>
        <w:top w:val="single" w:sz="4" w:space="0" w:color="F7BFBF" w:themeColor="accent6" w:themeTint="66"/>
        <w:left w:val="single" w:sz="4" w:space="0" w:color="F7BFBF" w:themeColor="accent6" w:themeTint="66"/>
        <w:bottom w:val="single" w:sz="4" w:space="0" w:color="F7BFBF" w:themeColor="accent6" w:themeTint="66"/>
        <w:right w:val="single" w:sz="4" w:space="0" w:color="F7BFBF" w:themeColor="accent6" w:themeTint="66"/>
        <w:insideH w:val="single" w:sz="4" w:space="0" w:color="F7BFBF" w:themeColor="accent6" w:themeTint="66"/>
        <w:insideV w:val="single" w:sz="4" w:space="0" w:color="F7BFBF" w:themeColor="accent6" w:themeTint="66"/>
      </w:tblBorders>
    </w:tblPr>
    <w:tblStylePr w:type="firstRow">
      <w:rPr>
        <w:b/>
        <w:bCs/>
      </w:rPr>
      <w:tblPr/>
      <w:tcPr>
        <w:tcBorders>
          <w:bottom w:val="single" w:sz="12" w:space="0" w:color="F39F9F" w:themeColor="accent6" w:themeTint="99"/>
        </w:tcBorders>
      </w:tcPr>
    </w:tblStylePr>
    <w:tblStylePr w:type="lastRow">
      <w:rPr>
        <w:b/>
        <w:bCs/>
      </w:rPr>
      <w:tblPr/>
      <w:tcPr>
        <w:tcBorders>
          <w:top w:val="double" w:sz="2" w:space="0" w:color="F39F9F" w:themeColor="accent6" w:themeTint="99"/>
        </w:tcBorders>
      </w:tcPr>
    </w:tblStylePr>
    <w:tblStylePr w:type="firstCol">
      <w:rPr>
        <w:b/>
        <w:bCs/>
      </w:rPr>
    </w:tblStylePr>
    <w:tblStylePr w:type="lastCol">
      <w:rPr>
        <w:b/>
        <w:bCs/>
      </w:rPr>
    </w:tblStylePr>
  </w:style>
  <w:style w:type="table" w:styleId="Rutntstabell2dekorfrg6">
    <w:name w:val="Grid Table 2 Accent 6"/>
    <w:basedOn w:val="Normaltabell"/>
    <w:uiPriority w:val="47"/>
    <w:rsid w:val="00052DAD"/>
    <w:pPr>
      <w:spacing w:after="0" w:line="240" w:lineRule="auto"/>
    </w:pPr>
    <w:tblPr>
      <w:tblStyleRowBandSize w:val="1"/>
      <w:tblStyleColBandSize w:val="1"/>
      <w:tblBorders>
        <w:top w:val="single" w:sz="2" w:space="0" w:color="F39F9F" w:themeColor="accent6" w:themeTint="99"/>
        <w:bottom w:val="single" w:sz="2" w:space="0" w:color="F39F9F" w:themeColor="accent6" w:themeTint="99"/>
        <w:insideH w:val="single" w:sz="2" w:space="0" w:color="F39F9F" w:themeColor="accent6" w:themeTint="99"/>
        <w:insideV w:val="single" w:sz="2" w:space="0" w:color="F39F9F" w:themeColor="accent6" w:themeTint="99"/>
      </w:tblBorders>
    </w:tblPr>
    <w:tblStylePr w:type="firstRow">
      <w:rPr>
        <w:b/>
        <w:bCs/>
      </w:rPr>
      <w:tblPr/>
      <w:tcPr>
        <w:tcBorders>
          <w:top w:val="nil"/>
          <w:bottom w:val="single" w:sz="12" w:space="0" w:color="F39F9F" w:themeColor="accent6" w:themeTint="99"/>
          <w:insideH w:val="nil"/>
          <w:insideV w:val="nil"/>
        </w:tcBorders>
        <w:shd w:val="clear" w:color="auto" w:fill="FFFFFF" w:themeFill="background1"/>
      </w:tcPr>
    </w:tblStylePr>
    <w:tblStylePr w:type="lastRow">
      <w:rPr>
        <w:b/>
        <w:bCs/>
      </w:rPr>
      <w:tblPr/>
      <w:tcPr>
        <w:tcBorders>
          <w:top w:val="double" w:sz="2" w:space="0" w:color="F39F9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DFDF" w:themeFill="accent6" w:themeFillTint="33"/>
      </w:tcPr>
    </w:tblStylePr>
    <w:tblStylePr w:type="band1Horz">
      <w:tblPr/>
      <w:tcPr>
        <w:shd w:val="clear" w:color="auto" w:fill="FBDFDF" w:themeFill="accent6" w:themeFillTint="33"/>
      </w:tcPr>
    </w:tblStylePr>
  </w:style>
  <w:style w:type="paragraph" w:styleId="Fotnotstext">
    <w:name w:val="footnote text"/>
    <w:basedOn w:val="Normal"/>
    <w:link w:val="FotnotstextChar"/>
    <w:uiPriority w:val="99"/>
    <w:semiHidden/>
    <w:unhideWhenUsed/>
    <w:rsid w:val="00052DAD"/>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052DAD"/>
    <w:rPr>
      <w:sz w:val="20"/>
      <w:szCs w:val="20"/>
    </w:rPr>
  </w:style>
  <w:style w:type="character" w:styleId="Fotnotsreferens">
    <w:name w:val="footnote reference"/>
    <w:basedOn w:val="Standardstycketeckensnitt"/>
    <w:uiPriority w:val="99"/>
    <w:semiHidden/>
    <w:unhideWhenUsed/>
    <w:rsid w:val="00052DA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917703">
      <w:bodyDiv w:val="1"/>
      <w:marLeft w:val="0"/>
      <w:marRight w:val="0"/>
      <w:marTop w:val="0"/>
      <w:marBottom w:val="0"/>
      <w:divBdr>
        <w:top w:val="none" w:sz="0" w:space="0" w:color="auto"/>
        <w:left w:val="none" w:sz="0" w:space="0" w:color="auto"/>
        <w:bottom w:val="none" w:sz="0" w:space="0" w:color="auto"/>
        <w:right w:val="none" w:sz="0" w:space="0" w:color="auto"/>
      </w:divBdr>
    </w:div>
    <w:div w:id="115664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6.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0.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9.xml"/><Relationship Id="rId28"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a:t>Ton</a:t>
            </a:r>
            <a:r>
              <a:rPr lang="sv-SE" baseline="0"/>
              <a:t> koldioxid</a:t>
            </a:r>
            <a:endParaRPr lang="sv-S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Blad1!$B$1</c:f>
              <c:strCache>
                <c:ptCount val="1"/>
                <c:pt idx="0">
                  <c:v>Faktisk data</c:v>
                </c:pt>
              </c:strCache>
            </c:strRef>
          </c:tx>
          <c:spPr>
            <a:solidFill>
              <a:schemeClr val="accent1"/>
            </a:solidFill>
            <a:ln>
              <a:noFill/>
            </a:ln>
            <a:effectLst/>
          </c:spPr>
          <c:invertIfNegative val="0"/>
          <c:cat>
            <c:numRef>
              <c:f>Blad1!$A$2:$A$38</c:f>
              <c:numCache>
                <c:formatCode>General</c:formatCode>
                <c:ptCount val="37"/>
                <c:pt idx="0">
                  <c:v>2000</c:v>
                </c:pt>
                <c:pt idx="2">
                  <c:v>2005</c:v>
                </c:pt>
                <c:pt idx="4">
                  <c:v>2010</c:v>
                </c:pt>
                <c:pt idx="6">
                  <c:v>2015</c:v>
                </c:pt>
                <c:pt idx="7">
                  <c:v>2016</c:v>
                </c:pt>
                <c:pt idx="8">
                  <c:v>2017</c:v>
                </c:pt>
                <c:pt idx="9">
                  <c:v>2018</c:v>
                </c:pt>
                <c:pt idx="10">
                  <c:v>2019</c:v>
                </c:pt>
                <c:pt idx="11">
                  <c:v>2020</c:v>
                </c:pt>
                <c:pt idx="12">
                  <c:v>2021</c:v>
                </c:pt>
                <c:pt idx="13">
                  <c:v>2022</c:v>
                </c:pt>
                <c:pt idx="14">
                  <c:v>2023</c:v>
                </c:pt>
                <c:pt idx="15">
                  <c:v>2024</c:v>
                </c:pt>
                <c:pt idx="16">
                  <c:v>2025</c:v>
                </c:pt>
                <c:pt idx="17">
                  <c:v>2026</c:v>
                </c:pt>
                <c:pt idx="18">
                  <c:v>2027</c:v>
                </c:pt>
                <c:pt idx="19">
                  <c:v>2028</c:v>
                </c:pt>
                <c:pt idx="20">
                  <c:v>2029</c:v>
                </c:pt>
                <c:pt idx="21">
                  <c:v>2030</c:v>
                </c:pt>
                <c:pt idx="22">
                  <c:v>2031</c:v>
                </c:pt>
                <c:pt idx="23">
                  <c:v>2032</c:v>
                </c:pt>
                <c:pt idx="24">
                  <c:v>2033</c:v>
                </c:pt>
                <c:pt idx="25">
                  <c:v>2034</c:v>
                </c:pt>
                <c:pt idx="26">
                  <c:v>2035</c:v>
                </c:pt>
                <c:pt idx="27">
                  <c:v>2036</c:v>
                </c:pt>
                <c:pt idx="28">
                  <c:v>2037</c:v>
                </c:pt>
                <c:pt idx="29">
                  <c:v>2038</c:v>
                </c:pt>
                <c:pt idx="30">
                  <c:v>2039</c:v>
                </c:pt>
                <c:pt idx="31">
                  <c:v>2040</c:v>
                </c:pt>
                <c:pt idx="32">
                  <c:v>2041</c:v>
                </c:pt>
                <c:pt idx="33">
                  <c:v>2042</c:v>
                </c:pt>
                <c:pt idx="34">
                  <c:v>2043</c:v>
                </c:pt>
                <c:pt idx="35">
                  <c:v>2044</c:v>
                </c:pt>
                <c:pt idx="36">
                  <c:v>2045</c:v>
                </c:pt>
              </c:numCache>
            </c:numRef>
          </c:cat>
          <c:val>
            <c:numRef>
              <c:f>Blad1!$B$2:$B$38</c:f>
              <c:numCache>
                <c:formatCode>General</c:formatCode>
                <c:ptCount val="37"/>
                <c:pt idx="0" formatCode="#,##0">
                  <c:v>189403</c:v>
                </c:pt>
                <c:pt idx="2" formatCode="#,##0">
                  <c:v>216791</c:v>
                </c:pt>
                <c:pt idx="4" formatCode="#,##0">
                  <c:v>204608</c:v>
                </c:pt>
                <c:pt idx="6" formatCode="#,##0">
                  <c:v>142150</c:v>
                </c:pt>
                <c:pt idx="7" formatCode="#,##0">
                  <c:v>145740</c:v>
                </c:pt>
                <c:pt idx="8" formatCode="#,##0">
                  <c:v>144130</c:v>
                </c:pt>
                <c:pt idx="9" formatCode="#,##0">
                  <c:v>133896</c:v>
                </c:pt>
                <c:pt idx="10" formatCode="#,##0">
                  <c:v>139381</c:v>
                </c:pt>
                <c:pt idx="11" formatCode="#,##0">
                  <c:v>129164</c:v>
                </c:pt>
                <c:pt idx="12" formatCode="#,##0">
                  <c:v>127788</c:v>
                </c:pt>
              </c:numCache>
            </c:numRef>
          </c:val>
          <c:extLst>
            <c:ext xmlns:c16="http://schemas.microsoft.com/office/drawing/2014/chart" uri="{C3380CC4-5D6E-409C-BE32-E72D297353CC}">
              <c16:uniqueId val="{00000000-54AA-468F-8098-2F2B5BE6CA3E}"/>
            </c:ext>
          </c:extLst>
        </c:ser>
        <c:ser>
          <c:idx val="1"/>
          <c:order val="1"/>
          <c:tx>
            <c:strRef>
              <c:f>Blad1!$C$1</c:f>
              <c:strCache>
                <c:ptCount val="1"/>
                <c:pt idx="0">
                  <c:v>skattad 2022, 2023</c:v>
                </c:pt>
              </c:strCache>
            </c:strRef>
          </c:tx>
          <c:spPr>
            <a:solidFill>
              <a:schemeClr val="accent2"/>
            </a:solidFill>
            <a:ln>
              <a:noFill/>
            </a:ln>
            <a:effectLst/>
          </c:spPr>
          <c:invertIfNegative val="0"/>
          <c:cat>
            <c:numRef>
              <c:f>Blad1!$A$2:$A$38</c:f>
              <c:numCache>
                <c:formatCode>General</c:formatCode>
                <c:ptCount val="37"/>
                <c:pt idx="0">
                  <c:v>2000</c:v>
                </c:pt>
                <c:pt idx="2">
                  <c:v>2005</c:v>
                </c:pt>
                <c:pt idx="4">
                  <c:v>2010</c:v>
                </c:pt>
                <c:pt idx="6">
                  <c:v>2015</c:v>
                </c:pt>
                <c:pt idx="7">
                  <c:v>2016</c:v>
                </c:pt>
                <c:pt idx="8">
                  <c:v>2017</c:v>
                </c:pt>
                <c:pt idx="9">
                  <c:v>2018</c:v>
                </c:pt>
                <c:pt idx="10">
                  <c:v>2019</c:v>
                </c:pt>
                <c:pt idx="11">
                  <c:v>2020</c:v>
                </c:pt>
                <c:pt idx="12">
                  <c:v>2021</c:v>
                </c:pt>
                <c:pt idx="13">
                  <c:v>2022</c:v>
                </c:pt>
                <c:pt idx="14">
                  <c:v>2023</c:v>
                </c:pt>
                <c:pt idx="15">
                  <c:v>2024</c:v>
                </c:pt>
                <c:pt idx="16">
                  <c:v>2025</c:v>
                </c:pt>
                <c:pt idx="17">
                  <c:v>2026</c:v>
                </c:pt>
                <c:pt idx="18">
                  <c:v>2027</c:v>
                </c:pt>
                <c:pt idx="19">
                  <c:v>2028</c:v>
                </c:pt>
                <c:pt idx="20">
                  <c:v>2029</c:v>
                </c:pt>
                <c:pt idx="21">
                  <c:v>2030</c:v>
                </c:pt>
                <c:pt idx="22">
                  <c:v>2031</c:v>
                </c:pt>
                <c:pt idx="23">
                  <c:v>2032</c:v>
                </c:pt>
                <c:pt idx="24">
                  <c:v>2033</c:v>
                </c:pt>
                <c:pt idx="25">
                  <c:v>2034</c:v>
                </c:pt>
                <c:pt idx="26">
                  <c:v>2035</c:v>
                </c:pt>
                <c:pt idx="27">
                  <c:v>2036</c:v>
                </c:pt>
                <c:pt idx="28">
                  <c:v>2037</c:v>
                </c:pt>
                <c:pt idx="29">
                  <c:v>2038</c:v>
                </c:pt>
                <c:pt idx="30">
                  <c:v>2039</c:v>
                </c:pt>
                <c:pt idx="31">
                  <c:v>2040</c:v>
                </c:pt>
                <c:pt idx="32">
                  <c:v>2041</c:v>
                </c:pt>
                <c:pt idx="33">
                  <c:v>2042</c:v>
                </c:pt>
                <c:pt idx="34">
                  <c:v>2043</c:v>
                </c:pt>
                <c:pt idx="35">
                  <c:v>2044</c:v>
                </c:pt>
                <c:pt idx="36">
                  <c:v>2045</c:v>
                </c:pt>
              </c:numCache>
            </c:numRef>
          </c:cat>
          <c:val>
            <c:numRef>
              <c:f>Blad1!$C$2:$C$38</c:f>
              <c:numCache>
                <c:formatCode>General</c:formatCode>
                <c:ptCount val="37"/>
                <c:pt idx="13" formatCode="#,##0">
                  <c:v>121909</c:v>
                </c:pt>
                <c:pt idx="14" formatCode="#,##0">
                  <c:v>121909</c:v>
                </c:pt>
              </c:numCache>
            </c:numRef>
          </c:val>
          <c:extLst>
            <c:ext xmlns:c16="http://schemas.microsoft.com/office/drawing/2014/chart" uri="{C3380CC4-5D6E-409C-BE32-E72D297353CC}">
              <c16:uniqueId val="{00000001-54AA-468F-8098-2F2B5BE6CA3E}"/>
            </c:ext>
          </c:extLst>
        </c:ser>
        <c:dLbls>
          <c:showLegendKey val="0"/>
          <c:showVal val="0"/>
          <c:showCatName val="0"/>
          <c:showSerName val="0"/>
          <c:showPercent val="0"/>
          <c:showBubbleSize val="0"/>
        </c:dLbls>
        <c:gapWidth val="10"/>
        <c:overlap val="100"/>
        <c:axId val="1305213904"/>
        <c:axId val="1305211024"/>
      </c:barChart>
      <c:lineChart>
        <c:grouping val="standard"/>
        <c:varyColors val="0"/>
        <c:ser>
          <c:idx val="2"/>
          <c:order val="2"/>
          <c:tx>
            <c:strRef>
              <c:f>Blad1!$D$1</c:f>
              <c:strCache>
                <c:ptCount val="1"/>
                <c:pt idx="0">
                  <c:v>Minska 15 % /år</c:v>
                </c:pt>
              </c:strCache>
            </c:strRef>
          </c:tx>
          <c:spPr>
            <a:ln w="28575" cap="rnd">
              <a:solidFill>
                <a:schemeClr val="accent6"/>
              </a:solidFill>
              <a:round/>
            </a:ln>
            <a:effectLst/>
          </c:spPr>
          <c:marker>
            <c:symbol val="none"/>
          </c:marker>
          <c:cat>
            <c:numRef>
              <c:f>Blad1!$A$2:$A$38</c:f>
              <c:numCache>
                <c:formatCode>General</c:formatCode>
                <c:ptCount val="37"/>
                <c:pt idx="0">
                  <c:v>2000</c:v>
                </c:pt>
                <c:pt idx="2">
                  <c:v>2005</c:v>
                </c:pt>
                <c:pt idx="4">
                  <c:v>2010</c:v>
                </c:pt>
                <c:pt idx="6">
                  <c:v>2015</c:v>
                </c:pt>
                <c:pt idx="7">
                  <c:v>2016</c:v>
                </c:pt>
                <c:pt idx="8">
                  <c:v>2017</c:v>
                </c:pt>
                <c:pt idx="9">
                  <c:v>2018</c:v>
                </c:pt>
                <c:pt idx="10">
                  <c:v>2019</c:v>
                </c:pt>
                <c:pt idx="11">
                  <c:v>2020</c:v>
                </c:pt>
                <c:pt idx="12">
                  <c:v>2021</c:v>
                </c:pt>
                <c:pt idx="13">
                  <c:v>2022</c:v>
                </c:pt>
                <c:pt idx="14">
                  <c:v>2023</c:v>
                </c:pt>
                <c:pt idx="15">
                  <c:v>2024</c:v>
                </c:pt>
                <c:pt idx="16">
                  <c:v>2025</c:v>
                </c:pt>
                <c:pt idx="17">
                  <c:v>2026</c:v>
                </c:pt>
                <c:pt idx="18">
                  <c:v>2027</c:v>
                </c:pt>
                <c:pt idx="19">
                  <c:v>2028</c:v>
                </c:pt>
                <c:pt idx="20">
                  <c:v>2029</c:v>
                </c:pt>
                <c:pt idx="21">
                  <c:v>2030</c:v>
                </c:pt>
                <c:pt idx="22">
                  <c:v>2031</c:v>
                </c:pt>
                <c:pt idx="23">
                  <c:v>2032</c:v>
                </c:pt>
                <c:pt idx="24">
                  <c:v>2033</c:v>
                </c:pt>
                <c:pt idx="25">
                  <c:v>2034</c:v>
                </c:pt>
                <c:pt idx="26">
                  <c:v>2035</c:v>
                </c:pt>
                <c:pt idx="27">
                  <c:v>2036</c:v>
                </c:pt>
                <c:pt idx="28">
                  <c:v>2037</c:v>
                </c:pt>
                <c:pt idx="29">
                  <c:v>2038</c:v>
                </c:pt>
                <c:pt idx="30">
                  <c:v>2039</c:v>
                </c:pt>
                <c:pt idx="31">
                  <c:v>2040</c:v>
                </c:pt>
                <c:pt idx="32">
                  <c:v>2041</c:v>
                </c:pt>
                <c:pt idx="33">
                  <c:v>2042</c:v>
                </c:pt>
                <c:pt idx="34">
                  <c:v>2043</c:v>
                </c:pt>
                <c:pt idx="35">
                  <c:v>2044</c:v>
                </c:pt>
                <c:pt idx="36">
                  <c:v>2045</c:v>
                </c:pt>
              </c:numCache>
            </c:numRef>
          </c:cat>
          <c:val>
            <c:numRef>
              <c:f>Blad1!$D$2:$D$38</c:f>
              <c:numCache>
                <c:formatCode>General</c:formatCode>
                <c:ptCount val="37"/>
                <c:pt idx="14" formatCode="#,##0">
                  <c:v>121909</c:v>
                </c:pt>
                <c:pt idx="15" formatCode="#,##0">
                  <c:v>104233</c:v>
                </c:pt>
                <c:pt idx="16" formatCode="#,##0">
                  <c:v>89119</c:v>
                </c:pt>
                <c:pt idx="17" formatCode="#,##0">
                  <c:v>76197</c:v>
                </c:pt>
                <c:pt idx="18" formatCode="#,##0">
                  <c:v>65148</c:v>
                </c:pt>
                <c:pt idx="19" formatCode="#,##0">
                  <c:v>55702</c:v>
                </c:pt>
                <c:pt idx="20" formatCode="#,##0">
                  <c:v>47625</c:v>
                </c:pt>
                <c:pt idx="21" formatCode="#,##0">
                  <c:v>40719</c:v>
                </c:pt>
                <c:pt idx="22" formatCode="#,##0">
                  <c:v>34815</c:v>
                </c:pt>
                <c:pt idx="23" formatCode="#,##0">
                  <c:v>29767</c:v>
                </c:pt>
                <c:pt idx="24" formatCode="#,##0">
                  <c:v>25451</c:v>
                </c:pt>
                <c:pt idx="25" formatCode="#,##0">
                  <c:v>21760</c:v>
                </c:pt>
                <c:pt idx="26" formatCode="#,##0">
                  <c:v>18605</c:v>
                </c:pt>
                <c:pt idx="27" formatCode="#,##0">
                  <c:v>15907</c:v>
                </c:pt>
                <c:pt idx="28" formatCode="#,##0">
                  <c:v>13601</c:v>
                </c:pt>
                <c:pt idx="29" formatCode="#,##0">
                  <c:v>11629</c:v>
                </c:pt>
                <c:pt idx="30" formatCode="#,##0">
                  <c:v>9942</c:v>
                </c:pt>
                <c:pt idx="31" formatCode="#,##0">
                  <c:v>8501</c:v>
                </c:pt>
                <c:pt idx="32" formatCode="#,##0">
                  <c:v>7268</c:v>
                </c:pt>
                <c:pt idx="33" formatCode="#,##0">
                  <c:v>6214</c:v>
                </c:pt>
                <c:pt idx="34" formatCode="#,##0">
                  <c:v>5313</c:v>
                </c:pt>
                <c:pt idx="35" formatCode="#,##0">
                  <c:v>4543</c:v>
                </c:pt>
                <c:pt idx="36" formatCode="#,##0">
                  <c:v>3884</c:v>
                </c:pt>
              </c:numCache>
            </c:numRef>
          </c:val>
          <c:smooth val="0"/>
          <c:extLst>
            <c:ext xmlns:c16="http://schemas.microsoft.com/office/drawing/2014/chart" uri="{C3380CC4-5D6E-409C-BE32-E72D297353CC}">
              <c16:uniqueId val="{00000002-54AA-468F-8098-2F2B5BE6CA3E}"/>
            </c:ext>
          </c:extLst>
        </c:ser>
        <c:dLbls>
          <c:showLegendKey val="0"/>
          <c:showVal val="0"/>
          <c:showCatName val="0"/>
          <c:showSerName val="0"/>
          <c:showPercent val="0"/>
          <c:showBubbleSize val="0"/>
        </c:dLbls>
        <c:marker val="1"/>
        <c:smooth val="0"/>
        <c:axId val="1305213904"/>
        <c:axId val="1305211024"/>
      </c:lineChart>
      <c:catAx>
        <c:axId val="1305213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16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305211024"/>
        <c:crosses val="autoZero"/>
        <c:auto val="1"/>
        <c:lblAlgn val="ctr"/>
        <c:lblOffset val="100"/>
        <c:noMultiLvlLbl val="0"/>
      </c:catAx>
      <c:valAx>
        <c:axId val="13052110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305213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bar"/>
        <c:grouping val="clustered"/>
        <c:varyColors val="0"/>
        <c:ser>
          <c:idx val="0"/>
          <c:order val="0"/>
          <c:tx>
            <c:strRef>
              <c:f>Blad1!$B$1</c:f>
              <c:strCache>
                <c:ptCount val="1"/>
                <c:pt idx="0">
                  <c:v>2019</c:v>
                </c:pt>
              </c:strCache>
            </c:strRef>
          </c:tx>
          <c:spPr>
            <a:solidFill>
              <a:schemeClr val="accent6"/>
            </a:solidFill>
            <a:ln>
              <a:noFill/>
            </a:ln>
            <a:effectLst/>
          </c:spPr>
          <c:invertIfNegative val="0"/>
          <c:cat>
            <c:strRef>
              <c:f>Blad1!$A$2:$A$8</c:f>
              <c:strCache>
                <c:ptCount val="7"/>
                <c:pt idx="0">
                  <c:v>Bostad och fritidshus (ej energi)</c:v>
                </c:pt>
                <c:pt idx="1">
                  <c:v>Möbler och inredning</c:v>
                </c:pt>
                <c:pt idx="2">
                  <c:v>Husgeråd</c:v>
                </c:pt>
                <c:pt idx="3">
                  <c:v>Maskiner, apparater, verktyg</c:v>
                </c:pt>
                <c:pt idx="4">
                  <c:v>Underhåll</c:v>
                </c:pt>
                <c:pt idx="5">
                  <c:v>Förbrukningsvaror</c:v>
                </c:pt>
                <c:pt idx="6">
                  <c:v>Hushållstextilier</c:v>
                </c:pt>
              </c:strCache>
            </c:strRef>
          </c:cat>
          <c:val>
            <c:numRef>
              <c:f>Blad1!$B$2:$B$8</c:f>
              <c:numCache>
                <c:formatCode>_-* #\ ##0_-;\-* #\ ##0_-;_-* "-"??_-;_-@_-</c:formatCode>
                <c:ptCount val="7"/>
                <c:pt idx="0">
                  <c:v>23089.845970000002</c:v>
                </c:pt>
                <c:pt idx="1">
                  <c:v>5200</c:v>
                </c:pt>
                <c:pt idx="2">
                  <c:v>2500</c:v>
                </c:pt>
                <c:pt idx="3">
                  <c:v>2500</c:v>
                </c:pt>
                <c:pt idx="4">
                  <c:v>1700</c:v>
                </c:pt>
                <c:pt idx="5">
                  <c:v>2000</c:v>
                </c:pt>
                <c:pt idx="6">
                  <c:v>2300</c:v>
                </c:pt>
              </c:numCache>
            </c:numRef>
          </c:val>
          <c:extLst>
            <c:ext xmlns:c16="http://schemas.microsoft.com/office/drawing/2014/chart" uri="{C3380CC4-5D6E-409C-BE32-E72D297353CC}">
              <c16:uniqueId val="{00000000-8140-4B30-9DEA-3AB3DEA4EBB5}"/>
            </c:ext>
          </c:extLst>
        </c:ser>
        <c:dLbls>
          <c:showLegendKey val="0"/>
          <c:showVal val="0"/>
          <c:showCatName val="0"/>
          <c:showSerName val="0"/>
          <c:showPercent val="0"/>
          <c:showBubbleSize val="0"/>
        </c:dLbls>
        <c:gapWidth val="50"/>
        <c:axId val="1084051168"/>
        <c:axId val="1084051888"/>
      </c:barChart>
      <c:catAx>
        <c:axId val="1084051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084051888"/>
        <c:crosses val="autoZero"/>
        <c:auto val="1"/>
        <c:lblAlgn val="ctr"/>
        <c:lblOffset val="100"/>
        <c:noMultiLvlLbl val="0"/>
      </c:catAx>
      <c:valAx>
        <c:axId val="1084051888"/>
        <c:scaling>
          <c:orientation val="minMax"/>
        </c:scaling>
        <c:delete val="0"/>
        <c:axPos val="b"/>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0840511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Blad1!$B$1</c:f>
              <c:strCache>
                <c:ptCount val="1"/>
                <c:pt idx="0">
                  <c:v>2019</c:v>
                </c:pt>
              </c:strCache>
            </c:strRef>
          </c:tx>
          <c:spPr>
            <a:solidFill>
              <a:schemeClr val="accent1"/>
            </a:solidFill>
            <a:ln>
              <a:noFill/>
            </a:ln>
            <a:effectLst/>
          </c:spPr>
          <c:invertIfNegative val="0"/>
          <c:cat>
            <c:strRef>
              <c:f>Blad1!$A$2:$A$18</c:f>
              <c:strCache>
                <c:ptCount val="17"/>
                <c:pt idx="0">
                  <c:v>Försäkring</c:v>
                </c:pt>
                <c:pt idx="1">
                  <c:v>Läkemedel och vitaminer</c:v>
                </c:pt>
                <c:pt idx="2">
                  <c:v>Hälsa och sjukvård</c:v>
                </c:pt>
                <c:pt idx="3">
                  <c:v>Kläder</c:v>
                </c:pt>
                <c:pt idx="4">
                  <c:v>Skor, accessoarer och reparation</c:v>
                </c:pt>
                <c:pt idx="5">
                  <c:v>teleutrustning</c:v>
                </c:pt>
                <c:pt idx="6">
                  <c:v>post och teletjänster</c:v>
                </c:pt>
                <c:pt idx="7">
                  <c:v>Inredning</c:v>
                </c:pt>
                <c:pt idx="8">
                  <c:v>Resor och övernattning</c:v>
                </c:pt>
                <c:pt idx="9">
                  <c:v>sport, fritid- och kultur (tjänster)</c:v>
                </c:pt>
                <c:pt idx="10">
                  <c:v>Husdjur</c:v>
                </c:pt>
                <c:pt idx="11">
                  <c:v>sport, fritid- och kultur (utrustning)</c:v>
                </c:pt>
                <c:pt idx="12">
                  <c:v>Underhållning och hobby (utrustning)</c:v>
                </c:pt>
                <c:pt idx="13">
                  <c:v>Utbildning</c:v>
                </c:pt>
                <c:pt idx="14">
                  <c:v>Skönhet</c:v>
                </c:pt>
                <c:pt idx="15">
                  <c:v>Övriga varor och tjänster</c:v>
                </c:pt>
                <c:pt idx="16">
                  <c:v>Omsorg</c:v>
                </c:pt>
              </c:strCache>
            </c:strRef>
          </c:cat>
          <c:val>
            <c:numRef>
              <c:f>Blad1!$B$2:$B$18</c:f>
              <c:numCache>
                <c:formatCode>General</c:formatCode>
                <c:ptCount val="17"/>
                <c:pt idx="0">
                  <c:v>2600</c:v>
                </c:pt>
                <c:pt idx="1">
                  <c:v>4100</c:v>
                </c:pt>
                <c:pt idx="2">
                  <c:v>2300</c:v>
                </c:pt>
                <c:pt idx="3">
                  <c:v>10600</c:v>
                </c:pt>
                <c:pt idx="4">
                  <c:v>3200</c:v>
                </c:pt>
                <c:pt idx="5">
                  <c:v>1800</c:v>
                </c:pt>
                <c:pt idx="6">
                  <c:v>1700</c:v>
                </c:pt>
                <c:pt idx="7">
                  <c:v>4200</c:v>
                </c:pt>
                <c:pt idx="8">
                  <c:v>5500</c:v>
                </c:pt>
                <c:pt idx="9">
                  <c:v>4800</c:v>
                </c:pt>
                <c:pt idx="10">
                  <c:v>1900</c:v>
                </c:pt>
                <c:pt idx="11">
                  <c:v>2900</c:v>
                </c:pt>
                <c:pt idx="12">
                  <c:v>6600</c:v>
                </c:pt>
                <c:pt idx="13">
                  <c:v>200</c:v>
                </c:pt>
                <c:pt idx="14">
                  <c:v>4300</c:v>
                </c:pt>
                <c:pt idx="15">
                  <c:v>2500</c:v>
                </c:pt>
                <c:pt idx="16">
                  <c:v>600</c:v>
                </c:pt>
              </c:numCache>
            </c:numRef>
          </c:val>
          <c:extLst>
            <c:ext xmlns:c16="http://schemas.microsoft.com/office/drawing/2014/chart" uri="{C3380CC4-5D6E-409C-BE32-E72D297353CC}">
              <c16:uniqueId val="{00000000-835D-45CA-A4D8-FF319BC0E39C}"/>
            </c:ext>
          </c:extLst>
        </c:ser>
        <c:dLbls>
          <c:showLegendKey val="0"/>
          <c:showVal val="0"/>
          <c:showCatName val="0"/>
          <c:showSerName val="0"/>
          <c:showPercent val="0"/>
          <c:showBubbleSize val="0"/>
        </c:dLbls>
        <c:gapWidth val="50"/>
        <c:axId val="1197274968"/>
        <c:axId val="1197269928"/>
      </c:barChart>
      <c:catAx>
        <c:axId val="1197274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197269928"/>
        <c:crosses val="autoZero"/>
        <c:auto val="1"/>
        <c:lblAlgn val="ctr"/>
        <c:lblOffset val="100"/>
        <c:noMultiLvlLbl val="0"/>
      </c:catAx>
      <c:valAx>
        <c:axId val="1197269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197274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Blad1!$B$1</c:f>
              <c:strCache>
                <c:ptCount val="1"/>
                <c:pt idx="0">
                  <c:v>Livscykelutsläpp, CO2e</c:v>
                </c:pt>
              </c:strCache>
            </c:strRef>
          </c:tx>
          <c:spPr>
            <a:solidFill>
              <a:schemeClr val="accent2"/>
            </a:solidFill>
            <a:ln>
              <a:noFill/>
            </a:ln>
            <a:effectLst/>
          </c:spPr>
          <c:invertIfNegative val="0"/>
          <c:cat>
            <c:strRef>
              <c:f>Blad1!$A$2:$A$11</c:f>
              <c:strCache>
                <c:ptCount val="10"/>
                <c:pt idx="0">
                  <c:v>El</c:v>
                </c:pt>
                <c:pt idx="1">
                  <c:v>Fjärrvärme</c:v>
                </c:pt>
                <c:pt idx="2">
                  <c:v>Eldningsoljor</c:v>
                </c:pt>
                <c:pt idx="3">
                  <c:v>Gas (exkl biogas)</c:v>
                </c:pt>
                <c:pt idx="4">
                  <c:v>Pellets</c:v>
                </c:pt>
                <c:pt idx="5">
                  <c:v>Diesel</c:v>
                </c:pt>
                <c:pt idx="6">
                  <c:v>Bensin</c:v>
                </c:pt>
                <c:pt idx="7">
                  <c:v>Biogas</c:v>
                </c:pt>
                <c:pt idx="8">
                  <c:v>HVO</c:v>
                </c:pt>
                <c:pt idx="9">
                  <c:v>Alkylatbensin</c:v>
                </c:pt>
              </c:strCache>
            </c:strRef>
          </c:cat>
          <c:val>
            <c:numRef>
              <c:f>Blad1!$B$2:$B$11</c:f>
              <c:numCache>
                <c:formatCode>0</c:formatCode>
                <c:ptCount val="10"/>
                <c:pt idx="0">
                  <c:v>424.04700800000001</c:v>
                </c:pt>
                <c:pt idx="1">
                  <c:v>400.07169782899774</c:v>
                </c:pt>
                <c:pt idx="2">
                  <c:v>21.82859177142857</c:v>
                </c:pt>
                <c:pt idx="3">
                  <c:v>21.237445000000001</c:v>
                </c:pt>
                <c:pt idx="4">
                  <c:v>6.3664238124999999</c:v>
                </c:pt>
                <c:pt idx="5">
                  <c:v>77.557097499999998</c:v>
                </c:pt>
                <c:pt idx="6">
                  <c:v>260.28617384237691</c:v>
                </c:pt>
                <c:pt idx="7">
                  <c:v>119.7948415437921</c:v>
                </c:pt>
                <c:pt idx="8">
                  <c:v>129.6316456903015</c:v>
                </c:pt>
                <c:pt idx="9">
                  <c:v>16.121922950000005</c:v>
                </c:pt>
              </c:numCache>
            </c:numRef>
          </c:val>
          <c:extLst>
            <c:ext xmlns:c16="http://schemas.microsoft.com/office/drawing/2014/chart" uri="{C3380CC4-5D6E-409C-BE32-E72D297353CC}">
              <c16:uniqueId val="{00000000-6A34-4155-BBDA-72F2112C19EE}"/>
            </c:ext>
          </c:extLst>
        </c:ser>
        <c:ser>
          <c:idx val="1"/>
          <c:order val="1"/>
          <c:tx>
            <c:strRef>
              <c:f>Blad1!$C$1</c:f>
              <c:strCache>
                <c:ptCount val="1"/>
                <c:pt idx="0">
                  <c:v>Direkta utsläpp, CO2</c:v>
                </c:pt>
              </c:strCache>
            </c:strRef>
          </c:tx>
          <c:spPr>
            <a:solidFill>
              <a:schemeClr val="accent4"/>
            </a:solidFill>
            <a:ln>
              <a:noFill/>
            </a:ln>
            <a:effectLst/>
          </c:spPr>
          <c:invertIfNegative val="0"/>
          <c:cat>
            <c:strRef>
              <c:f>Blad1!$A$2:$A$11</c:f>
              <c:strCache>
                <c:ptCount val="10"/>
                <c:pt idx="0">
                  <c:v>El</c:v>
                </c:pt>
                <c:pt idx="1">
                  <c:v>Fjärrvärme</c:v>
                </c:pt>
                <c:pt idx="2">
                  <c:v>Eldningsoljor</c:v>
                </c:pt>
                <c:pt idx="3">
                  <c:v>Gas (exkl biogas)</c:v>
                </c:pt>
                <c:pt idx="4">
                  <c:v>Pellets</c:v>
                </c:pt>
                <c:pt idx="5">
                  <c:v>Diesel</c:v>
                </c:pt>
                <c:pt idx="6">
                  <c:v>Bensin</c:v>
                </c:pt>
                <c:pt idx="7">
                  <c:v>Biogas</c:v>
                </c:pt>
                <c:pt idx="8">
                  <c:v>HVO</c:v>
                </c:pt>
                <c:pt idx="9">
                  <c:v>Alkylatbensin</c:v>
                </c:pt>
              </c:strCache>
            </c:strRef>
          </c:cat>
          <c:val>
            <c:numRef>
              <c:f>Blad1!$C$2:$C$11</c:f>
              <c:numCache>
                <c:formatCode>0</c:formatCode>
                <c:ptCount val="10"/>
                <c:pt idx="0">
                  <c:v>0</c:v>
                </c:pt>
                <c:pt idx="1">
                  <c:v>0</c:v>
                </c:pt>
                <c:pt idx="2">
                  <c:v>20.009542457142857</c:v>
                </c:pt>
                <c:pt idx="3">
                  <c:v>21.237445000000001</c:v>
                </c:pt>
                <c:pt idx="4">
                  <c:v>0</c:v>
                </c:pt>
                <c:pt idx="5">
                  <c:v>51.610723063636364</c:v>
                </c:pt>
                <c:pt idx="6">
                  <c:v>194.21965265302742</c:v>
                </c:pt>
                <c:pt idx="7">
                  <c:v>0</c:v>
                </c:pt>
                <c:pt idx="8">
                  <c:v>0</c:v>
                </c:pt>
                <c:pt idx="9">
                  <c:v>13.015864400000003</c:v>
                </c:pt>
              </c:numCache>
            </c:numRef>
          </c:val>
          <c:extLst>
            <c:ext xmlns:c16="http://schemas.microsoft.com/office/drawing/2014/chart" uri="{C3380CC4-5D6E-409C-BE32-E72D297353CC}">
              <c16:uniqueId val="{00000001-6A34-4155-BBDA-72F2112C19EE}"/>
            </c:ext>
          </c:extLst>
        </c:ser>
        <c:dLbls>
          <c:showLegendKey val="0"/>
          <c:showVal val="0"/>
          <c:showCatName val="0"/>
          <c:showSerName val="0"/>
          <c:showPercent val="0"/>
          <c:showBubbleSize val="0"/>
        </c:dLbls>
        <c:gapWidth val="50"/>
        <c:axId val="1653278360"/>
        <c:axId val="1653278720"/>
      </c:barChart>
      <c:catAx>
        <c:axId val="1653278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653278720"/>
        <c:crosses val="autoZero"/>
        <c:auto val="1"/>
        <c:lblAlgn val="ctr"/>
        <c:lblOffset val="100"/>
        <c:noMultiLvlLbl val="0"/>
      </c:catAx>
      <c:valAx>
        <c:axId val="1653278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653278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tx>
            <c:strRef>
              <c:f>Blad1!$B$1</c:f>
              <c:strCache>
                <c:ptCount val="1"/>
                <c:pt idx="0">
                  <c:v>2023</c:v>
                </c:pt>
              </c:strCache>
            </c:strRef>
          </c:tx>
          <c:spPr>
            <a:solidFill>
              <a:schemeClr val="accent3"/>
            </a:solidFill>
            <a:ln>
              <a:noFill/>
            </a:ln>
            <a:effectLst/>
          </c:spPr>
          <c:invertIfNegative val="0"/>
          <c:cat>
            <c:strRef>
              <c:f>Blad1!$A$2:$A$9</c:f>
              <c:strCache>
                <c:ptCount val="8"/>
                <c:pt idx="0">
                  <c:v>Mejeri + ägg</c:v>
                </c:pt>
                <c:pt idx="1">
                  <c:v>Kött</c:v>
                </c:pt>
                <c:pt idx="2">
                  <c:v>Grönsaker och frukt</c:v>
                </c:pt>
                <c:pt idx="3">
                  <c:v>Bröd och flingor</c:v>
                </c:pt>
                <c:pt idx="4">
                  <c:v>Godsaker</c:v>
                </c:pt>
                <c:pt idx="5">
                  <c:v>Fisk och skaldjur</c:v>
                </c:pt>
                <c:pt idx="6">
                  <c:v>Övrigt (fett, kryddor m.m.)</c:v>
                </c:pt>
                <c:pt idx="7">
                  <c:v>Drycker</c:v>
                </c:pt>
              </c:strCache>
            </c:strRef>
          </c:cat>
          <c:val>
            <c:numRef>
              <c:f>Blad1!$B$2:$B$9</c:f>
              <c:numCache>
                <c:formatCode>#,##0</c:formatCode>
                <c:ptCount val="8"/>
                <c:pt idx="0">
                  <c:v>630</c:v>
                </c:pt>
                <c:pt idx="1">
                  <c:v>1110</c:v>
                </c:pt>
                <c:pt idx="2">
                  <c:v>220</c:v>
                </c:pt>
                <c:pt idx="3">
                  <c:v>150</c:v>
                </c:pt>
                <c:pt idx="4">
                  <c:v>50</c:v>
                </c:pt>
                <c:pt idx="5">
                  <c:v>90</c:v>
                </c:pt>
                <c:pt idx="6">
                  <c:v>130</c:v>
                </c:pt>
                <c:pt idx="7">
                  <c:v>150</c:v>
                </c:pt>
              </c:numCache>
            </c:numRef>
          </c:val>
          <c:extLst>
            <c:ext xmlns:c16="http://schemas.microsoft.com/office/drawing/2014/chart" uri="{C3380CC4-5D6E-409C-BE32-E72D297353CC}">
              <c16:uniqueId val="{00000000-C76E-4DD0-AFEB-CE9BA81B24E3}"/>
            </c:ext>
          </c:extLst>
        </c:ser>
        <c:dLbls>
          <c:showLegendKey val="0"/>
          <c:showVal val="0"/>
          <c:showCatName val="0"/>
          <c:showSerName val="0"/>
          <c:showPercent val="0"/>
          <c:showBubbleSize val="0"/>
        </c:dLbls>
        <c:gapWidth val="50"/>
        <c:axId val="1203965240"/>
        <c:axId val="1203959840"/>
      </c:barChart>
      <c:catAx>
        <c:axId val="1203965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203959840"/>
        <c:crosses val="autoZero"/>
        <c:auto val="1"/>
        <c:lblAlgn val="ctr"/>
        <c:lblOffset val="100"/>
        <c:noMultiLvlLbl val="0"/>
      </c:catAx>
      <c:valAx>
        <c:axId val="12039598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2039652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Blad1!$B$1</c:f>
              <c:strCache>
                <c:ptCount val="1"/>
                <c:pt idx="0">
                  <c:v>Transporter</c:v>
                </c:pt>
              </c:strCache>
            </c:strRef>
          </c:tx>
          <c:spPr>
            <a:solidFill>
              <a:schemeClr val="accent4"/>
            </a:solidFill>
            <a:ln>
              <a:noFill/>
            </a:ln>
            <a:effectLst/>
          </c:spPr>
          <c:invertIfNegative val="0"/>
          <c:cat>
            <c:numRef>
              <c:f>Blad1!$A$2:$A$16</c:f>
              <c:numCache>
                <c:formatCode>General</c:formatCode>
                <c:ptCount val="15"/>
                <c:pt idx="0">
                  <c:v>1990</c:v>
                </c:pt>
                <c:pt idx="2">
                  <c:v>2000</c:v>
                </c:pt>
                <c:pt idx="4">
                  <c:v>2005</c:v>
                </c:pt>
                <c:pt idx="6">
                  <c:v>2010</c:v>
                </c:pt>
                <c:pt idx="8">
                  <c:v>2015</c:v>
                </c:pt>
                <c:pt idx="9">
                  <c:v>2016</c:v>
                </c:pt>
                <c:pt idx="10">
                  <c:v>2017</c:v>
                </c:pt>
                <c:pt idx="11">
                  <c:v>2018</c:v>
                </c:pt>
                <c:pt idx="12">
                  <c:v>2019</c:v>
                </c:pt>
                <c:pt idx="13">
                  <c:v>2020</c:v>
                </c:pt>
                <c:pt idx="14">
                  <c:v>2021</c:v>
                </c:pt>
              </c:numCache>
            </c:numRef>
          </c:cat>
          <c:val>
            <c:numRef>
              <c:f>Blad1!$B$2:$B$16</c:f>
              <c:numCache>
                <c:formatCode>General</c:formatCode>
                <c:ptCount val="15"/>
                <c:pt idx="0">
                  <c:v>76918.278349063999</c:v>
                </c:pt>
                <c:pt idx="2">
                  <c:v>80306.844003570106</c:v>
                </c:pt>
                <c:pt idx="4">
                  <c:v>85489.428166650599</c:v>
                </c:pt>
                <c:pt idx="6">
                  <c:v>87430.060666144404</c:v>
                </c:pt>
                <c:pt idx="8">
                  <c:v>77787.088747734801</c:v>
                </c:pt>
                <c:pt idx="9">
                  <c:v>74958.407433008993</c:v>
                </c:pt>
                <c:pt idx="10">
                  <c:v>69434.138918908298</c:v>
                </c:pt>
                <c:pt idx="11">
                  <c:v>69166.706095714297</c:v>
                </c:pt>
                <c:pt idx="12">
                  <c:v>68732.5094227628</c:v>
                </c:pt>
                <c:pt idx="13">
                  <c:v>62987.347059939297</c:v>
                </c:pt>
                <c:pt idx="14">
                  <c:v>62877.260718398298</c:v>
                </c:pt>
              </c:numCache>
            </c:numRef>
          </c:val>
          <c:extLst>
            <c:ext xmlns:c16="http://schemas.microsoft.com/office/drawing/2014/chart" uri="{C3380CC4-5D6E-409C-BE32-E72D297353CC}">
              <c16:uniqueId val="{00000000-7306-455F-B2B2-E39D1B94E454}"/>
            </c:ext>
          </c:extLst>
        </c:ser>
        <c:ser>
          <c:idx val="1"/>
          <c:order val="1"/>
          <c:tx>
            <c:strRef>
              <c:f>Blad1!$C$1</c:f>
              <c:strCache>
                <c:ptCount val="1"/>
                <c:pt idx="0">
                  <c:v>Industri (energi + processer)</c:v>
                </c:pt>
              </c:strCache>
            </c:strRef>
          </c:tx>
          <c:spPr>
            <a:solidFill>
              <a:schemeClr val="accent2"/>
            </a:solidFill>
            <a:ln>
              <a:noFill/>
            </a:ln>
            <a:effectLst/>
          </c:spPr>
          <c:invertIfNegative val="0"/>
          <c:cat>
            <c:numRef>
              <c:f>Blad1!$A$2:$A$16</c:f>
              <c:numCache>
                <c:formatCode>General</c:formatCode>
                <c:ptCount val="15"/>
                <c:pt idx="0">
                  <c:v>1990</c:v>
                </c:pt>
                <c:pt idx="2">
                  <c:v>2000</c:v>
                </c:pt>
                <c:pt idx="4">
                  <c:v>2005</c:v>
                </c:pt>
                <c:pt idx="6">
                  <c:v>2010</c:v>
                </c:pt>
                <c:pt idx="8">
                  <c:v>2015</c:v>
                </c:pt>
                <c:pt idx="9">
                  <c:v>2016</c:v>
                </c:pt>
                <c:pt idx="10">
                  <c:v>2017</c:v>
                </c:pt>
                <c:pt idx="11">
                  <c:v>2018</c:v>
                </c:pt>
                <c:pt idx="12">
                  <c:v>2019</c:v>
                </c:pt>
                <c:pt idx="13">
                  <c:v>2020</c:v>
                </c:pt>
                <c:pt idx="14">
                  <c:v>2021</c:v>
                </c:pt>
              </c:numCache>
            </c:numRef>
          </c:cat>
          <c:val>
            <c:numRef>
              <c:f>Blad1!$C$2:$C$16</c:f>
              <c:numCache>
                <c:formatCode>General</c:formatCode>
                <c:ptCount val="15"/>
                <c:pt idx="0">
                  <c:v>74634.466526564196</c:v>
                </c:pt>
                <c:pt idx="2">
                  <c:v>29047.095818761602</c:v>
                </c:pt>
                <c:pt idx="4">
                  <c:v>39566.760687008798</c:v>
                </c:pt>
                <c:pt idx="6">
                  <c:v>24358.006783186302</c:v>
                </c:pt>
                <c:pt idx="8">
                  <c:v>2734.2304130141702</c:v>
                </c:pt>
                <c:pt idx="9">
                  <c:v>4301.1780290347097</c:v>
                </c:pt>
                <c:pt idx="10">
                  <c:v>1594.2028156855699</c:v>
                </c:pt>
                <c:pt idx="11">
                  <c:v>1792.5189591916201</c:v>
                </c:pt>
                <c:pt idx="12">
                  <c:v>1604.7515088072</c:v>
                </c:pt>
                <c:pt idx="13">
                  <c:v>1346.34478845892</c:v>
                </c:pt>
                <c:pt idx="14">
                  <c:v>943.73956612368397</c:v>
                </c:pt>
              </c:numCache>
            </c:numRef>
          </c:val>
          <c:extLst>
            <c:ext xmlns:c16="http://schemas.microsoft.com/office/drawing/2014/chart" uri="{C3380CC4-5D6E-409C-BE32-E72D297353CC}">
              <c16:uniqueId val="{00000001-7306-455F-B2B2-E39D1B94E454}"/>
            </c:ext>
          </c:extLst>
        </c:ser>
        <c:ser>
          <c:idx val="2"/>
          <c:order val="2"/>
          <c:tx>
            <c:strRef>
              <c:f>Blad1!$D$1</c:f>
              <c:strCache>
                <c:ptCount val="1"/>
                <c:pt idx="0">
                  <c:v>Jordbruk</c:v>
                </c:pt>
              </c:strCache>
            </c:strRef>
          </c:tx>
          <c:spPr>
            <a:solidFill>
              <a:schemeClr val="accent3"/>
            </a:solidFill>
            <a:ln>
              <a:noFill/>
            </a:ln>
            <a:effectLst/>
          </c:spPr>
          <c:invertIfNegative val="0"/>
          <c:cat>
            <c:numRef>
              <c:f>Blad1!$A$2:$A$16</c:f>
              <c:numCache>
                <c:formatCode>General</c:formatCode>
                <c:ptCount val="15"/>
                <c:pt idx="0">
                  <c:v>1990</c:v>
                </c:pt>
                <c:pt idx="2">
                  <c:v>2000</c:v>
                </c:pt>
                <c:pt idx="4">
                  <c:v>2005</c:v>
                </c:pt>
                <c:pt idx="6">
                  <c:v>2010</c:v>
                </c:pt>
                <c:pt idx="8">
                  <c:v>2015</c:v>
                </c:pt>
                <c:pt idx="9">
                  <c:v>2016</c:v>
                </c:pt>
                <c:pt idx="10">
                  <c:v>2017</c:v>
                </c:pt>
                <c:pt idx="11">
                  <c:v>2018</c:v>
                </c:pt>
                <c:pt idx="12">
                  <c:v>2019</c:v>
                </c:pt>
                <c:pt idx="13">
                  <c:v>2020</c:v>
                </c:pt>
                <c:pt idx="14">
                  <c:v>2021</c:v>
                </c:pt>
              </c:numCache>
            </c:numRef>
          </c:cat>
          <c:val>
            <c:numRef>
              <c:f>Blad1!$D$2:$D$16</c:f>
              <c:numCache>
                <c:formatCode>General</c:formatCode>
                <c:ptCount val="15"/>
                <c:pt idx="0">
                  <c:v>22654.327649037801</c:v>
                </c:pt>
                <c:pt idx="2">
                  <c:v>20263.0896241341</c:v>
                </c:pt>
                <c:pt idx="4">
                  <c:v>16307.4048287551</c:v>
                </c:pt>
                <c:pt idx="6">
                  <c:v>14456.0750071776</c:v>
                </c:pt>
                <c:pt idx="8">
                  <c:v>14540.6003044723</c:v>
                </c:pt>
                <c:pt idx="9">
                  <c:v>14353.1817252932</c:v>
                </c:pt>
                <c:pt idx="10">
                  <c:v>14769.7458319251</c:v>
                </c:pt>
                <c:pt idx="11">
                  <c:v>14298.7338965328</c:v>
                </c:pt>
                <c:pt idx="12">
                  <c:v>14696.6133896836</c:v>
                </c:pt>
                <c:pt idx="13">
                  <c:v>14541.928159233499</c:v>
                </c:pt>
                <c:pt idx="14">
                  <c:v>14095.4584605871</c:v>
                </c:pt>
              </c:numCache>
            </c:numRef>
          </c:val>
          <c:extLst>
            <c:ext xmlns:c16="http://schemas.microsoft.com/office/drawing/2014/chart" uri="{C3380CC4-5D6E-409C-BE32-E72D297353CC}">
              <c16:uniqueId val="{00000002-7306-455F-B2B2-E39D1B94E454}"/>
            </c:ext>
          </c:extLst>
        </c:ser>
        <c:ser>
          <c:idx val="3"/>
          <c:order val="3"/>
          <c:tx>
            <c:strRef>
              <c:f>Blad1!$E$1</c:f>
              <c:strCache>
                <c:ptCount val="1"/>
                <c:pt idx="0">
                  <c:v>El, fjärrvärme och uppvärmning</c:v>
                </c:pt>
              </c:strCache>
            </c:strRef>
          </c:tx>
          <c:spPr>
            <a:solidFill>
              <a:schemeClr val="accent1"/>
            </a:solidFill>
            <a:ln>
              <a:noFill/>
            </a:ln>
            <a:effectLst/>
          </c:spPr>
          <c:invertIfNegative val="0"/>
          <c:cat>
            <c:numRef>
              <c:f>Blad1!$A$2:$A$16</c:f>
              <c:numCache>
                <c:formatCode>General</c:formatCode>
                <c:ptCount val="15"/>
                <c:pt idx="0">
                  <c:v>1990</c:v>
                </c:pt>
                <c:pt idx="2">
                  <c:v>2000</c:v>
                </c:pt>
                <c:pt idx="4">
                  <c:v>2005</c:v>
                </c:pt>
                <c:pt idx="6">
                  <c:v>2010</c:v>
                </c:pt>
                <c:pt idx="8">
                  <c:v>2015</c:v>
                </c:pt>
                <c:pt idx="9">
                  <c:v>2016</c:v>
                </c:pt>
                <c:pt idx="10">
                  <c:v>2017</c:v>
                </c:pt>
                <c:pt idx="11">
                  <c:v>2018</c:v>
                </c:pt>
                <c:pt idx="12">
                  <c:v>2019</c:v>
                </c:pt>
                <c:pt idx="13">
                  <c:v>2020</c:v>
                </c:pt>
                <c:pt idx="14">
                  <c:v>2021</c:v>
                </c:pt>
              </c:numCache>
            </c:numRef>
          </c:cat>
          <c:val>
            <c:numRef>
              <c:f>Blad1!$E$2:$E$16</c:f>
              <c:numCache>
                <c:formatCode>General</c:formatCode>
                <c:ptCount val="15"/>
                <c:pt idx="0">
                  <c:v>43360.880072921609</c:v>
                </c:pt>
                <c:pt idx="2">
                  <c:v>28768.885902964808</c:v>
                </c:pt>
                <c:pt idx="4">
                  <c:v>30345.862797679398</c:v>
                </c:pt>
                <c:pt idx="6">
                  <c:v>27968.907189699832</c:v>
                </c:pt>
                <c:pt idx="8">
                  <c:v>5333.9722690854596</c:v>
                </c:pt>
                <c:pt idx="9">
                  <c:v>5583.0750851999101</c:v>
                </c:pt>
                <c:pt idx="10">
                  <c:v>5342.6323101391099</c:v>
                </c:pt>
                <c:pt idx="11">
                  <c:v>4591.1224671497002</c:v>
                </c:pt>
                <c:pt idx="12">
                  <c:v>4015.5616905888601</c:v>
                </c:pt>
                <c:pt idx="13">
                  <c:v>3695.7378521740702</c:v>
                </c:pt>
                <c:pt idx="14" formatCode="#,##0">
                  <c:v>3876.4904522260904</c:v>
                </c:pt>
              </c:numCache>
            </c:numRef>
          </c:val>
          <c:extLst>
            <c:ext xmlns:c16="http://schemas.microsoft.com/office/drawing/2014/chart" uri="{C3380CC4-5D6E-409C-BE32-E72D297353CC}">
              <c16:uniqueId val="{00000003-7306-455F-B2B2-E39D1B94E454}"/>
            </c:ext>
          </c:extLst>
        </c:ser>
        <c:ser>
          <c:idx val="4"/>
          <c:order val="4"/>
          <c:tx>
            <c:strRef>
              <c:f>Blad1!$F$1</c:f>
              <c:strCache>
                <c:ptCount val="1"/>
                <c:pt idx="0">
                  <c:v>Arbetsmaskiner</c:v>
                </c:pt>
              </c:strCache>
            </c:strRef>
          </c:tx>
          <c:spPr>
            <a:solidFill>
              <a:schemeClr val="accent6"/>
            </a:solidFill>
            <a:ln>
              <a:noFill/>
            </a:ln>
            <a:effectLst/>
          </c:spPr>
          <c:invertIfNegative val="0"/>
          <c:cat>
            <c:numRef>
              <c:f>Blad1!$A$2:$A$16</c:f>
              <c:numCache>
                <c:formatCode>General</c:formatCode>
                <c:ptCount val="15"/>
                <c:pt idx="0">
                  <c:v>1990</c:v>
                </c:pt>
                <c:pt idx="2">
                  <c:v>2000</c:v>
                </c:pt>
                <c:pt idx="4">
                  <c:v>2005</c:v>
                </c:pt>
                <c:pt idx="6">
                  <c:v>2010</c:v>
                </c:pt>
                <c:pt idx="8">
                  <c:v>2015</c:v>
                </c:pt>
                <c:pt idx="9">
                  <c:v>2016</c:v>
                </c:pt>
                <c:pt idx="10">
                  <c:v>2017</c:v>
                </c:pt>
                <c:pt idx="11">
                  <c:v>2018</c:v>
                </c:pt>
                <c:pt idx="12">
                  <c:v>2019</c:v>
                </c:pt>
                <c:pt idx="13">
                  <c:v>2020</c:v>
                </c:pt>
                <c:pt idx="14">
                  <c:v>2021</c:v>
                </c:pt>
              </c:numCache>
            </c:numRef>
          </c:cat>
          <c:val>
            <c:numRef>
              <c:f>Blad1!$F$2:$F$16</c:f>
              <c:numCache>
                <c:formatCode>General</c:formatCode>
                <c:ptCount val="15"/>
                <c:pt idx="0">
                  <c:v>12024.1602076904</c:v>
                </c:pt>
                <c:pt idx="2">
                  <c:v>10952.2791407889</c:v>
                </c:pt>
                <c:pt idx="4">
                  <c:v>10457.5313236316</c:v>
                </c:pt>
                <c:pt idx="6">
                  <c:v>12668.1962323878</c:v>
                </c:pt>
                <c:pt idx="8">
                  <c:v>10280.380437186401</c:v>
                </c:pt>
                <c:pt idx="9">
                  <c:v>9716.9184766909893</c:v>
                </c:pt>
                <c:pt idx="10">
                  <c:v>9885.4954336445007</c:v>
                </c:pt>
                <c:pt idx="11">
                  <c:v>9885.3776302978695</c:v>
                </c:pt>
                <c:pt idx="12">
                  <c:v>10746.3687136432</c:v>
                </c:pt>
                <c:pt idx="13">
                  <c:v>10628.568959046301</c:v>
                </c:pt>
                <c:pt idx="14" formatCode="#,##0">
                  <c:v>11277.7476309335</c:v>
                </c:pt>
              </c:numCache>
            </c:numRef>
          </c:val>
          <c:extLst>
            <c:ext xmlns:c16="http://schemas.microsoft.com/office/drawing/2014/chart" uri="{C3380CC4-5D6E-409C-BE32-E72D297353CC}">
              <c16:uniqueId val="{00000004-7306-455F-B2B2-E39D1B94E454}"/>
            </c:ext>
          </c:extLst>
        </c:ser>
        <c:ser>
          <c:idx val="5"/>
          <c:order val="5"/>
          <c:tx>
            <c:strRef>
              <c:f>Blad1!$G$1</c:f>
              <c:strCache>
                <c:ptCount val="1"/>
                <c:pt idx="0">
                  <c:v>Produktanvändning (inkl. lösningsmedel)</c:v>
                </c:pt>
              </c:strCache>
            </c:strRef>
          </c:tx>
          <c:spPr>
            <a:solidFill>
              <a:schemeClr val="accent5"/>
            </a:solidFill>
            <a:ln>
              <a:noFill/>
            </a:ln>
            <a:effectLst/>
          </c:spPr>
          <c:invertIfNegative val="0"/>
          <c:cat>
            <c:numRef>
              <c:f>Blad1!$A$2:$A$16</c:f>
              <c:numCache>
                <c:formatCode>General</c:formatCode>
                <c:ptCount val="15"/>
                <c:pt idx="0">
                  <c:v>1990</c:v>
                </c:pt>
                <c:pt idx="2">
                  <c:v>2000</c:v>
                </c:pt>
                <c:pt idx="4">
                  <c:v>2005</c:v>
                </c:pt>
                <c:pt idx="6">
                  <c:v>2010</c:v>
                </c:pt>
                <c:pt idx="8">
                  <c:v>2015</c:v>
                </c:pt>
                <c:pt idx="9">
                  <c:v>2016</c:v>
                </c:pt>
                <c:pt idx="10">
                  <c:v>2017</c:v>
                </c:pt>
                <c:pt idx="11">
                  <c:v>2018</c:v>
                </c:pt>
                <c:pt idx="12">
                  <c:v>2019</c:v>
                </c:pt>
                <c:pt idx="13">
                  <c:v>2020</c:v>
                </c:pt>
                <c:pt idx="14">
                  <c:v>2021</c:v>
                </c:pt>
              </c:numCache>
            </c:numRef>
          </c:cat>
          <c:val>
            <c:numRef>
              <c:f>Blad1!$G$2:$G$16</c:f>
              <c:numCache>
                <c:formatCode>General</c:formatCode>
                <c:ptCount val="15"/>
                <c:pt idx="0">
                  <c:v>2607.3577626831998</c:v>
                </c:pt>
                <c:pt idx="2">
                  <c:v>7775.1047093659399</c:v>
                </c:pt>
                <c:pt idx="4">
                  <c:v>9769.6993757050495</c:v>
                </c:pt>
                <c:pt idx="6">
                  <c:v>9888.6262845253605</c:v>
                </c:pt>
                <c:pt idx="8">
                  <c:v>9419.3504093091597</c:v>
                </c:pt>
                <c:pt idx="9">
                  <c:v>9470.3312211707307</c:v>
                </c:pt>
                <c:pt idx="10">
                  <c:v>9373.1195447800492</c:v>
                </c:pt>
                <c:pt idx="11">
                  <c:v>8714.7775377361504</c:v>
                </c:pt>
                <c:pt idx="12">
                  <c:v>8177.1853534990496</c:v>
                </c:pt>
                <c:pt idx="13">
                  <c:v>6607.5310537830001</c:v>
                </c:pt>
                <c:pt idx="14" formatCode="#,##0">
                  <c:v>6121.3791594163204</c:v>
                </c:pt>
              </c:numCache>
            </c:numRef>
          </c:val>
          <c:extLst>
            <c:ext xmlns:c16="http://schemas.microsoft.com/office/drawing/2014/chart" uri="{C3380CC4-5D6E-409C-BE32-E72D297353CC}">
              <c16:uniqueId val="{00000005-7306-455F-B2B2-E39D1B94E454}"/>
            </c:ext>
          </c:extLst>
        </c:ser>
        <c:ser>
          <c:idx val="6"/>
          <c:order val="6"/>
          <c:tx>
            <c:strRef>
              <c:f>Blad1!$H$1</c:f>
              <c:strCache>
                <c:ptCount val="1"/>
                <c:pt idx="0">
                  <c:v>Avfall (inkl.avlopp, exkl.deponier)</c:v>
                </c:pt>
              </c:strCache>
            </c:strRef>
          </c:tx>
          <c:spPr>
            <a:solidFill>
              <a:schemeClr val="accent3">
                <a:lumMod val="50000"/>
              </a:schemeClr>
            </a:solidFill>
            <a:ln>
              <a:noFill/>
            </a:ln>
            <a:effectLst/>
          </c:spPr>
          <c:invertIfNegative val="0"/>
          <c:cat>
            <c:numRef>
              <c:f>Blad1!$A$2:$A$16</c:f>
              <c:numCache>
                <c:formatCode>General</c:formatCode>
                <c:ptCount val="15"/>
                <c:pt idx="0">
                  <c:v>1990</c:v>
                </c:pt>
                <c:pt idx="2">
                  <c:v>2000</c:v>
                </c:pt>
                <c:pt idx="4">
                  <c:v>2005</c:v>
                </c:pt>
                <c:pt idx="6">
                  <c:v>2010</c:v>
                </c:pt>
                <c:pt idx="8">
                  <c:v>2015</c:v>
                </c:pt>
                <c:pt idx="9">
                  <c:v>2016</c:v>
                </c:pt>
                <c:pt idx="10">
                  <c:v>2017</c:v>
                </c:pt>
                <c:pt idx="11">
                  <c:v>2018</c:v>
                </c:pt>
                <c:pt idx="12">
                  <c:v>2019</c:v>
                </c:pt>
                <c:pt idx="13">
                  <c:v>2020</c:v>
                </c:pt>
                <c:pt idx="14">
                  <c:v>2021</c:v>
                </c:pt>
              </c:numCache>
            </c:numRef>
          </c:cat>
          <c:val>
            <c:numRef>
              <c:f>Blad1!$H$2:$H$16</c:f>
              <c:numCache>
                <c:formatCode>General</c:formatCode>
                <c:ptCount val="15"/>
                <c:pt idx="0">
                  <c:v>2123.4369823308953</c:v>
                </c:pt>
                <c:pt idx="2">
                  <c:v>2054.2189391268039</c:v>
                </c:pt>
                <c:pt idx="4">
                  <c:v>2033.7773499624964</c:v>
                </c:pt>
                <c:pt idx="6">
                  <c:v>1986.1413103067971</c:v>
                </c:pt>
                <c:pt idx="8">
                  <c:v>1922.1940722483996</c:v>
                </c:pt>
                <c:pt idx="9">
                  <c:v>1920.8509001417005</c:v>
                </c:pt>
                <c:pt idx="10">
                  <c:v>1930.3728433502001</c:v>
                </c:pt>
                <c:pt idx="11">
                  <c:v>1921.7064077679024</c:v>
                </c:pt>
                <c:pt idx="12">
                  <c:v>2505.4377219192975</c:v>
                </c:pt>
                <c:pt idx="13">
                  <c:v>2717.1548983773009</c:v>
                </c:pt>
                <c:pt idx="14" formatCode="#,##0">
                  <c:v>2488.6097052097994</c:v>
                </c:pt>
              </c:numCache>
            </c:numRef>
          </c:val>
          <c:extLst>
            <c:ext xmlns:c16="http://schemas.microsoft.com/office/drawing/2014/chart" uri="{C3380CC4-5D6E-409C-BE32-E72D297353CC}">
              <c16:uniqueId val="{00000006-7306-455F-B2B2-E39D1B94E454}"/>
            </c:ext>
          </c:extLst>
        </c:ser>
        <c:ser>
          <c:idx val="7"/>
          <c:order val="7"/>
          <c:tx>
            <c:strRef>
              <c:f>Blad1!$I$1</c:f>
              <c:strCache>
                <c:ptCount val="1"/>
                <c:pt idx="0">
                  <c:v>Deponier</c:v>
                </c:pt>
              </c:strCache>
            </c:strRef>
          </c:tx>
          <c:spPr>
            <a:pattFill prst="dkUpDiag">
              <a:fgClr>
                <a:schemeClr val="accent1">
                  <a:lumMod val="75000"/>
                  <a:lumOff val="25000"/>
                </a:schemeClr>
              </a:fgClr>
              <a:bgClr>
                <a:schemeClr val="accent1">
                  <a:lumMod val="50000"/>
                  <a:lumOff val="50000"/>
                </a:schemeClr>
              </a:bgClr>
            </a:pattFill>
            <a:ln>
              <a:noFill/>
            </a:ln>
            <a:effectLst/>
          </c:spPr>
          <c:invertIfNegative val="0"/>
          <c:cat>
            <c:numRef>
              <c:f>Blad1!$A$2:$A$16</c:f>
              <c:numCache>
                <c:formatCode>General</c:formatCode>
                <c:ptCount val="15"/>
                <c:pt idx="0">
                  <c:v>1990</c:v>
                </c:pt>
                <c:pt idx="2">
                  <c:v>2000</c:v>
                </c:pt>
                <c:pt idx="4">
                  <c:v>2005</c:v>
                </c:pt>
                <c:pt idx="6">
                  <c:v>2010</c:v>
                </c:pt>
                <c:pt idx="8">
                  <c:v>2015</c:v>
                </c:pt>
                <c:pt idx="9">
                  <c:v>2016</c:v>
                </c:pt>
                <c:pt idx="10">
                  <c:v>2017</c:v>
                </c:pt>
                <c:pt idx="11">
                  <c:v>2018</c:v>
                </c:pt>
                <c:pt idx="12">
                  <c:v>2019</c:v>
                </c:pt>
                <c:pt idx="13">
                  <c:v>2020</c:v>
                </c:pt>
                <c:pt idx="14">
                  <c:v>2021</c:v>
                </c:pt>
              </c:numCache>
            </c:numRef>
          </c:cat>
          <c:val>
            <c:numRef>
              <c:f>Blad1!$I$2:$I$16</c:f>
              <c:numCache>
                <c:formatCode>General</c:formatCode>
                <c:ptCount val="15"/>
                <c:pt idx="0">
                  <c:v>88825.920325304105</c:v>
                </c:pt>
                <c:pt idx="2">
                  <c:v>74617.109794825301</c:v>
                </c:pt>
                <c:pt idx="4">
                  <c:v>59417.216062003601</c:v>
                </c:pt>
                <c:pt idx="6">
                  <c:v>39172.281802392303</c:v>
                </c:pt>
                <c:pt idx="8">
                  <c:v>24413.882592718601</c:v>
                </c:pt>
                <c:pt idx="9">
                  <c:v>22085.910375155501</c:v>
                </c:pt>
                <c:pt idx="10">
                  <c:v>20571.613011843401</c:v>
                </c:pt>
                <c:pt idx="11">
                  <c:v>19125.048549207699</c:v>
                </c:pt>
                <c:pt idx="12">
                  <c:v>16426.007945958801</c:v>
                </c:pt>
                <c:pt idx="13">
                  <c:v>14862.1655957124</c:v>
                </c:pt>
                <c:pt idx="14" formatCode="#,##0">
                  <c:v>12583.080074264501</c:v>
                </c:pt>
              </c:numCache>
            </c:numRef>
          </c:val>
          <c:extLst>
            <c:ext xmlns:c16="http://schemas.microsoft.com/office/drawing/2014/chart" uri="{C3380CC4-5D6E-409C-BE32-E72D297353CC}">
              <c16:uniqueId val="{00000007-7306-455F-B2B2-E39D1B94E454}"/>
            </c:ext>
          </c:extLst>
        </c:ser>
        <c:dLbls>
          <c:showLegendKey val="0"/>
          <c:showVal val="0"/>
          <c:showCatName val="0"/>
          <c:showSerName val="0"/>
          <c:showPercent val="0"/>
          <c:showBubbleSize val="0"/>
        </c:dLbls>
        <c:gapWidth val="10"/>
        <c:overlap val="100"/>
        <c:axId val="1028344352"/>
        <c:axId val="1028347592"/>
      </c:barChart>
      <c:catAx>
        <c:axId val="102834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028347592"/>
        <c:crosses val="autoZero"/>
        <c:auto val="1"/>
        <c:lblAlgn val="ctr"/>
        <c:lblOffset val="100"/>
        <c:noMultiLvlLbl val="0"/>
      </c:catAx>
      <c:valAx>
        <c:axId val="1028347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028344352"/>
        <c:crosses val="autoZero"/>
        <c:crossBetween val="between"/>
      </c:valAx>
      <c:spPr>
        <a:noFill/>
        <a:ln>
          <a:noFill/>
        </a:ln>
        <a:effectLst/>
      </c:spPr>
    </c:plotArea>
    <c:legend>
      <c:legendPos val="r"/>
      <c:layout>
        <c:manualLayout>
          <c:xMode val="edge"/>
          <c:yMode val="edge"/>
          <c:x val="0.66226491386734243"/>
          <c:y val="8.5007620015240037E-2"/>
          <c:w val="0.32205496069165401"/>
          <c:h val="0.870710213642649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Blad1!$B$1</c:f>
              <c:strCache>
                <c:ptCount val="1"/>
                <c:pt idx="0">
                  <c:v>Försäljning</c:v>
                </c:pt>
              </c:strCache>
            </c:strRef>
          </c:tx>
          <c:dPt>
            <c:idx val="0"/>
            <c:bubble3D val="0"/>
            <c:spPr>
              <a:solidFill>
                <a:schemeClr val="accent4"/>
              </a:solidFill>
              <a:ln w="19050">
                <a:solidFill>
                  <a:schemeClr val="lt1"/>
                </a:solidFill>
              </a:ln>
              <a:effectLst/>
            </c:spPr>
            <c:extLst>
              <c:ext xmlns:c16="http://schemas.microsoft.com/office/drawing/2014/chart" uri="{C3380CC4-5D6E-409C-BE32-E72D297353CC}">
                <c16:uniqueId val="{00000001-AE30-4B1D-89AB-2682E84B284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AD5-48D7-8C76-549F46ECC51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AD5-48D7-8C76-549F46ECC51B}"/>
              </c:ext>
            </c:extLst>
          </c:dPt>
          <c:dPt>
            <c:idx val="3"/>
            <c:bubble3D val="0"/>
            <c:spPr>
              <a:solidFill>
                <a:schemeClr val="accent1"/>
              </a:solidFill>
              <a:ln w="19050">
                <a:solidFill>
                  <a:schemeClr val="lt1"/>
                </a:solidFill>
              </a:ln>
              <a:effectLst/>
            </c:spPr>
            <c:extLst>
              <c:ext xmlns:c16="http://schemas.microsoft.com/office/drawing/2014/chart" uri="{C3380CC4-5D6E-409C-BE32-E72D297353CC}">
                <c16:uniqueId val="{00000002-AE30-4B1D-89AB-2682E84B2849}"/>
              </c:ext>
            </c:extLst>
          </c:dPt>
          <c:dPt>
            <c:idx val="4"/>
            <c:bubble3D val="0"/>
            <c:spPr>
              <a:solidFill>
                <a:schemeClr val="accent6"/>
              </a:solidFill>
              <a:ln w="19050">
                <a:solidFill>
                  <a:schemeClr val="lt1"/>
                </a:solidFill>
              </a:ln>
              <a:effectLst/>
            </c:spPr>
            <c:extLst>
              <c:ext xmlns:c16="http://schemas.microsoft.com/office/drawing/2014/chart" uri="{C3380CC4-5D6E-409C-BE32-E72D297353CC}">
                <c16:uniqueId val="{00000003-AE30-4B1D-89AB-2682E84B2849}"/>
              </c:ext>
            </c:extLst>
          </c:dPt>
          <c:dPt>
            <c:idx val="5"/>
            <c:bubble3D val="0"/>
            <c:spPr>
              <a:solidFill>
                <a:schemeClr val="accent5"/>
              </a:solidFill>
              <a:ln w="19050">
                <a:solidFill>
                  <a:schemeClr val="lt1"/>
                </a:solidFill>
              </a:ln>
              <a:effectLst/>
            </c:spPr>
            <c:extLst>
              <c:ext xmlns:c16="http://schemas.microsoft.com/office/drawing/2014/chart" uri="{C3380CC4-5D6E-409C-BE32-E72D297353CC}">
                <c16:uniqueId val="{00000004-AE30-4B1D-89AB-2682E84B2849}"/>
              </c:ext>
            </c:extLst>
          </c:dPt>
          <c:dPt>
            <c:idx val="6"/>
            <c:bubble3D val="0"/>
            <c:spPr>
              <a:solidFill>
                <a:schemeClr val="accent3">
                  <a:lumMod val="50000"/>
                </a:schemeClr>
              </a:solidFill>
              <a:ln w="19050">
                <a:solidFill>
                  <a:schemeClr val="lt1"/>
                </a:solidFill>
              </a:ln>
              <a:effectLst/>
            </c:spPr>
            <c:extLst>
              <c:ext xmlns:c16="http://schemas.microsoft.com/office/drawing/2014/chart" uri="{C3380CC4-5D6E-409C-BE32-E72D297353CC}">
                <c16:uniqueId val="{00000005-AE30-4B1D-89AB-2682E84B284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Blad1!$A$2:$A$8</c:f>
              <c:strCache>
                <c:ptCount val="7"/>
                <c:pt idx="0">
                  <c:v>Transporter</c:v>
                </c:pt>
                <c:pt idx="1">
                  <c:v>Industri (energi + processer)</c:v>
                </c:pt>
                <c:pt idx="2">
                  <c:v>Jordbruk</c:v>
                </c:pt>
                <c:pt idx="3">
                  <c:v>El, fjärrvärme och uppvärmning</c:v>
                </c:pt>
                <c:pt idx="4">
                  <c:v>Arbetsmaskiner</c:v>
                </c:pt>
                <c:pt idx="5">
                  <c:v>Produktanvändning (inkl. lösningsmedel)</c:v>
                </c:pt>
                <c:pt idx="6">
                  <c:v>Avfall (inkl.avlopp, exkl.deponier)</c:v>
                </c:pt>
              </c:strCache>
            </c:strRef>
          </c:cat>
          <c:val>
            <c:numRef>
              <c:f>Blad1!$B$2:$B$8</c:f>
              <c:numCache>
                <c:formatCode>#,##0</c:formatCode>
                <c:ptCount val="7"/>
                <c:pt idx="0">
                  <c:v>62877.260718398298</c:v>
                </c:pt>
                <c:pt idx="1">
                  <c:v>943.73956612368397</c:v>
                </c:pt>
                <c:pt idx="2">
                  <c:v>14095.4584605871</c:v>
                </c:pt>
                <c:pt idx="3">
                  <c:v>3876.4904522260904</c:v>
                </c:pt>
                <c:pt idx="4">
                  <c:v>11277.7476309335</c:v>
                </c:pt>
                <c:pt idx="5">
                  <c:v>6121.3791594163204</c:v>
                </c:pt>
                <c:pt idx="6">
                  <c:v>2488.6097052097994</c:v>
                </c:pt>
              </c:numCache>
            </c:numRef>
          </c:val>
          <c:extLst>
            <c:ext xmlns:c16="http://schemas.microsoft.com/office/drawing/2014/chart" uri="{C3380CC4-5D6E-409C-BE32-E72D297353CC}">
              <c16:uniqueId val="{00000000-AE30-4B1D-89AB-2682E84B2849}"/>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pieChart>
        <c:varyColors val="1"/>
        <c:ser>
          <c:idx val="0"/>
          <c:order val="0"/>
          <c:tx>
            <c:strRef>
              <c:f>Blad1!$B$1</c:f>
              <c:strCache>
                <c:ptCount val="1"/>
                <c:pt idx="0">
                  <c:v>Försäljning</c:v>
                </c:pt>
              </c:strCache>
            </c:strRef>
          </c:tx>
          <c:dPt>
            <c:idx val="0"/>
            <c:bubble3D val="0"/>
            <c:spPr>
              <a:solidFill>
                <a:schemeClr val="accent4">
                  <a:shade val="50000"/>
                </a:schemeClr>
              </a:solidFill>
              <a:ln w="19050">
                <a:solidFill>
                  <a:schemeClr val="lt1"/>
                </a:solidFill>
              </a:ln>
              <a:effectLst/>
            </c:spPr>
            <c:extLst>
              <c:ext xmlns:c16="http://schemas.microsoft.com/office/drawing/2014/chart" uri="{C3380CC4-5D6E-409C-BE32-E72D297353CC}">
                <c16:uniqueId val="{00000001-908D-4A39-8A68-6019BF0BECBE}"/>
              </c:ext>
            </c:extLst>
          </c:dPt>
          <c:dPt>
            <c:idx val="1"/>
            <c:bubble3D val="0"/>
            <c:spPr>
              <a:solidFill>
                <a:schemeClr val="accent4">
                  <a:shade val="70000"/>
                </a:schemeClr>
              </a:solidFill>
              <a:ln w="19050">
                <a:solidFill>
                  <a:schemeClr val="lt1"/>
                </a:solidFill>
              </a:ln>
              <a:effectLst/>
            </c:spPr>
            <c:extLst>
              <c:ext xmlns:c16="http://schemas.microsoft.com/office/drawing/2014/chart" uri="{C3380CC4-5D6E-409C-BE32-E72D297353CC}">
                <c16:uniqueId val="{00000003-908D-4A39-8A68-6019BF0BECBE}"/>
              </c:ext>
            </c:extLst>
          </c:dPt>
          <c:dPt>
            <c:idx val="2"/>
            <c:bubble3D val="0"/>
            <c:spPr>
              <a:solidFill>
                <a:schemeClr val="accent4">
                  <a:shade val="90000"/>
                </a:schemeClr>
              </a:solidFill>
              <a:ln w="19050">
                <a:solidFill>
                  <a:schemeClr val="lt1"/>
                </a:solidFill>
              </a:ln>
              <a:effectLst/>
            </c:spPr>
            <c:extLst>
              <c:ext xmlns:c16="http://schemas.microsoft.com/office/drawing/2014/chart" uri="{C3380CC4-5D6E-409C-BE32-E72D297353CC}">
                <c16:uniqueId val="{00000005-908D-4A39-8A68-6019BF0BECBE}"/>
              </c:ext>
            </c:extLst>
          </c:dPt>
          <c:dPt>
            <c:idx val="3"/>
            <c:bubble3D val="0"/>
            <c:spPr>
              <a:solidFill>
                <a:schemeClr val="accent4">
                  <a:tint val="90000"/>
                </a:schemeClr>
              </a:solidFill>
              <a:ln w="19050">
                <a:solidFill>
                  <a:schemeClr val="lt1"/>
                </a:solidFill>
              </a:ln>
              <a:effectLst/>
            </c:spPr>
            <c:extLst>
              <c:ext xmlns:c16="http://schemas.microsoft.com/office/drawing/2014/chart" uri="{C3380CC4-5D6E-409C-BE32-E72D297353CC}">
                <c16:uniqueId val="{00000007-908D-4A39-8A68-6019BF0BECBE}"/>
              </c:ext>
            </c:extLst>
          </c:dPt>
          <c:dPt>
            <c:idx val="4"/>
            <c:bubble3D val="0"/>
            <c:spPr>
              <a:solidFill>
                <a:schemeClr val="accent4">
                  <a:tint val="70000"/>
                </a:schemeClr>
              </a:solidFill>
              <a:ln w="19050">
                <a:solidFill>
                  <a:schemeClr val="lt1"/>
                </a:solidFill>
              </a:ln>
              <a:effectLst/>
            </c:spPr>
            <c:extLst>
              <c:ext xmlns:c16="http://schemas.microsoft.com/office/drawing/2014/chart" uri="{C3380CC4-5D6E-409C-BE32-E72D297353CC}">
                <c16:uniqueId val="{00000009-908D-4A39-8A68-6019BF0BECBE}"/>
              </c:ext>
            </c:extLst>
          </c:dPt>
          <c:dPt>
            <c:idx val="5"/>
            <c:bubble3D val="0"/>
            <c:spPr>
              <a:solidFill>
                <a:schemeClr val="bg2"/>
              </a:solidFill>
              <a:ln w="19050">
                <a:solidFill>
                  <a:schemeClr val="lt1"/>
                </a:solidFill>
              </a:ln>
              <a:effectLst/>
            </c:spPr>
            <c:extLst>
              <c:ext xmlns:c16="http://schemas.microsoft.com/office/drawing/2014/chart" uri="{C3380CC4-5D6E-409C-BE32-E72D297353CC}">
                <c16:uniqueId val="{0000000B-908D-4A39-8A68-6019BF0BECBE}"/>
              </c:ext>
            </c:extLst>
          </c:dPt>
          <c:dLbls>
            <c:dLbl>
              <c:idx val="1"/>
              <c:showLegendKey val="0"/>
              <c:showVal val="0"/>
              <c:showCatName val="1"/>
              <c:showSerName val="0"/>
              <c:showPercent val="1"/>
              <c:showBubbleSize val="0"/>
              <c:separator>
</c:separator>
              <c:extLst>
                <c:ext xmlns:c15="http://schemas.microsoft.com/office/drawing/2012/chart" uri="{CE6537A1-D6FC-4f65-9D91-7224C49458BB}">
                  <c15:layout>
                    <c:manualLayout>
                      <c:w val="0.24823588709677419"/>
                      <c:h val="0.15878159429682434"/>
                    </c:manualLayout>
                  </c15:layout>
                </c:ext>
                <c:ext xmlns:c16="http://schemas.microsoft.com/office/drawing/2014/chart" uri="{C3380CC4-5D6E-409C-BE32-E72D297353CC}">
                  <c16:uniqueId val="{00000003-908D-4A39-8A68-6019BF0BECBE}"/>
                </c:ext>
              </c:extLst>
            </c:dLbl>
            <c:dLbl>
              <c:idx val="3"/>
              <c:layout>
                <c:manualLayout>
                  <c:x val="-0.11643748373084098"/>
                  <c:y val="-0.1064073634309043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908D-4A39-8A68-6019BF0BECBE}"/>
                </c:ext>
              </c:extLst>
            </c:dLbl>
            <c:dLbl>
              <c:idx val="4"/>
              <c:layout>
                <c:manualLayout>
                  <c:x val="-0.13547381449917742"/>
                  <c:y val="-0.27784460507303271"/>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908D-4A39-8A68-6019BF0BECBE}"/>
                </c:ext>
              </c:extLst>
            </c:dLbl>
            <c:dLbl>
              <c:idx val="5"/>
              <c:layout>
                <c:manualLayout>
                  <c:x val="0.19327997563613056"/>
                  <c:y val="-6.0345694520651865E-3"/>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908D-4A39-8A68-6019BF0BECB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Blad1!$A$2:$A$7</c:f>
              <c:strCache>
                <c:ptCount val="6"/>
                <c:pt idx="0">
                  <c:v>Personbilar</c:v>
                </c:pt>
                <c:pt idx="1">
                  <c:v>Tunga lastbilar</c:v>
                </c:pt>
                <c:pt idx="2">
                  <c:v>Lätta lastbilar</c:v>
                </c:pt>
                <c:pt idx="3">
                  <c:v>Bussar, mopeder och MC</c:v>
                </c:pt>
                <c:pt idx="4">
                  <c:v>Övrigt (civil sjöfart, flyg och järnväg</c:v>
                </c:pt>
                <c:pt idx="5">
                  <c:v>Resterande utsläpp (ej trafik, exkl dep.)</c:v>
                </c:pt>
              </c:strCache>
            </c:strRef>
          </c:cat>
          <c:val>
            <c:numRef>
              <c:f>Blad1!$B$2:$B$7</c:f>
              <c:numCache>
                <c:formatCode>#,##0</c:formatCode>
                <c:ptCount val="6"/>
                <c:pt idx="0">
                  <c:v>44657.019352279101</c:v>
                </c:pt>
                <c:pt idx="1">
                  <c:v>10551.039664637899</c:v>
                </c:pt>
                <c:pt idx="2">
                  <c:v>6567.9202828338202</c:v>
                </c:pt>
                <c:pt idx="3">
                  <c:v>497.39340948051506</c:v>
                </c:pt>
                <c:pt idx="4">
                  <c:v>603.90175030485045</c:v>
                </c:pt>
                <c:pt idx="5">
                  <c:v>38803.4249744962</c:v>
                </c:pt>
              </c:numCache>
            </c:numRef>
          </c:val>
          <c:extLst>
            <c:ext xmlns:c16="http://schemas.microsoft.com/office/drawing/2014/chart" uri="{C3380CC4-5D6E-409C-BE32-E72D297353CC}">
              <c16:uniqueId val="{0000000C-908D-4A39-8A68-6019BF0BECBE}"/>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Blad1!$A$2</c:f>
              <c:strCache>
                <c:ptCount val="1"/>
                <c:pt idx="0">
                  <c:v>Elbilar</c:v>
                </c:pt>
              </c:strCache>
            </c:strRef>
          </c:tx>
          <c:spPr>
            <a:solidFill>
              <a:schemeClr val="accent2"/>
            </a:solidFill>
            <a:ln>
              <a:noFill/>
            </a:ln>
            <a:effectLst/>
          </c:spPr>
          <c:cat>
            <c:strRef>
              <c:f>Blad1!$B$1:$I$1</c:f>
              <c:strCache>
                <c:ptCount val="8"/>
                <c:pt idx="0">
                  <c:v>2016</c:v>
                </c:pt>
                <c:pt idx="1">
                  <c:v>2017</c:v>
                </c:pt>
                <c:pt idx="2">
                  <c:v>2018</c:v>
                </c:pt>
                <c:pt idx="3">
                  <c:v>2019</c:v>
                </c:pt>
                <c:pt idx="4">
                  <c:v>2020</c:v>
                </c:pt>
                <c:pt idx="5">
                  <c:v>2021</c:v>
                </c:pt>
                <c:pt idx="6">
                  <c:v>2022</c:v>
                </c:pt>
                <c:pt idx="7">
                  <c:v>2023*</c:v>
                </c:pt>
              </c:strCache>
            </c:strRef>
          </c:cat>
          <c:val>
            <c:numRef>
              <c:f>Blad1!$B$2:$I$2</c:f>
              <c:numCache>
                <c:formatCode>General</c:formatCode>
                <c:ptCount val="8"/>
                <c:pt idx="0">
                  <c:v>23</c:v>
                </c:pt>
                <c:pt idx="1">
                  <c:v>84</c:v>
                </c:pt>
                <c:pt idx="2">
                  <c:v>126</c:v>
                </c:pt>
                <c:pt idx="3">
                  <c:v>173</c:v>
                </c:pt>
                <c:pt idx="4" formatCode="#,##0">
                  <c:v>285</c:v>
                </c:pt>
                <c:pt idx="5" formatCode="#,##0">
                  <c:v>631</c:v>
                </c:pt>
                <c:pt idx="6" formatCode="#,##0">
                  <c:v>1266</c:v>
                </c:pt>
                <c:pt idx="7" formatCode="#,##0">
                  <c:v>1916</c:v>
                </c:pt>
              </c:numCache>
            </c:numRef>
          </c:val>
          <c:extLst>
            <c:ext xmlns:c16="http://schemas.microsoft.com/office/drawing/2014/chart" uri="{C3380CC4-5D6E-409C-BE32-E72D297353CC}">
              <c16:uniqueId val="{00000000-36E0-43BA-841F-6DB7D7AC95B2}"/>
            </c:ext>
          </c:extLst>
        </c:ser>
        <c:ser>
          <c:idx val="1"/>
          <c:order val="1"/>
          <c:tx>
            <c:strRef>
              <c:f>Blad1!$A$3</c:f>
              <c:strCache>
                <c:ptCount val="1"/>
                <c:pt idx="0">
                  <c:v>Laddhybrider</c:v>
                </c:pt>
              </c:strCache>
            </c:strRef>
          </c:tx>
          <c:spPr>
            <a:solidFill>
              <a:schemeClr val="accent6"/>
            </a:solidFill>
            <a:ln>
              <a:noFill/>
            </a:ln>
            <a:effectLst/>
          </c:spPr>
          <c:cat>
            <c:strRef>
              <c:f>Blad1!$B$1:$I$1</c:f>
              <c:strCache>
                <c:ptCount val="8"/>
                <c:pt idx="0">
                  <c:v>2016</c:v>
                </c:pt>
                <c:pt idx="1">
                  <c:v>2017</c:v>
                </c:pt>
                <c:pt idx="2">
                  <c:v>2018</c:v>
                </c:pt>
                <c:pt idx="3">
                  <c:v>2019</c:v>
                </c:pt>
                <c:pt idx="4">
                  <c:v>2020</c:v>
                </c:pt>
                <c:pt idx="5">
                  <c:v>2021</c:v>
                </c:pt>
                <c:pt idx="6">
                  <c:v>2022</c:v>
                </c:pt>
                <c:pt idx="7">
                  <c:v>2023*</c:v>
                </c:pt>
              </c:strCache>
            </c:strRef>
          </c:cat>
          <c:val>
            <c:numRef>
              <c:f>Blad1!$B$3:$I$3</c:f>
              <c:numCache>
                <c:formatCode>General</c:formatCode>
                <c:ptCount val="8"/>
                <c:pt idx="0">
                  <c:v>13</c:v>
                </c:pt>
                <c:pt idx="1">
                  <c:v>80</c:v>
                </c:pt>
                <c:pt idx="2">
                  <c:v>118</c:v>
                </c:pt>
                <c:pt idx="3" formatCode="#,##0">
                  <c:v>176</c:v>
                </c:pt>
                <c:pt idx="4" formatCode="#,##0">
                  <c:v>383</c:v>
                </c:pt>
                <c:pt idx="5" formatCode="#,##0">
                  <c:v>750</c:v>
                </c:pt>
                <c:pt idx="6" formatCode="#,##0">
                  <c:v>1092</c:v>
                </c:pt>
                <c:pt idx="7" formatCode="#,##0">
                  <c:v>1387</c:v>
                </c:pt>
              </c:numCache>
            </c:numRef>
          </c:val>
          <c:extLst>
            <c:ext xmlns:c16="http://schemas.microsoft.com/office/drawing/2014/chart" uri="{C3380CC4-5D6E-409C-BE32-E72D297353CC}">
              <c16:uniqueId val="{00000001-36E0-43BA-841F-6DB7D7AC95B2}"/>
            </c:ext>
          </c:extLst>
        </c:ser>
        <c:dLbls>
          <c:showLegendKey val="0"/>
          <c:showVal val="0"/>
          <c:showCatName val="0"/>
          <c:showSerName val="0"/>
          <c:showPercent val="0"/>
          <c:showBubbleSize val="0"/>
        </c:dLbls>
        <c:axId val="994198200"/>
        <c:axId val="994198920"/>
      </c:areaChart>
      <c:catAx>
        <c:axId val="994198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994198920"/>
        <c:crosses val="autoZero"/>
        <c:auto val="1"/>
        <c:lblAlgn val="ctr"/>
        <c:lblOffset val="100"/>
        <c:noMultiLvlLbl val="0"/>
      </c:catAx>
      <c:valAx>
        <c:axId val="994198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9941982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Blad1!$A$2</c:f>
              <c:strCache>
                <c:ptCount val="1"/>
                <c:pt idx="0">
                  <c:v>Utrikes sjöfart</c:v>
                </c:pt>
              </c:strCache>
            </c:strRef>
          </c:tx>
          <c:spPr>
            <a:solidFill>
              <a:schemeClr val="accent4"/>
            </a:solidFill>
            <a:ln>
              <a:noFill/>
            </a:ln>
            <a:effectLst/>
          </c:spPr>
          <c:invertIfNegative val="0"/>
          <c:cat>
            <c:strRef>
              <c:f>Blad1!$B$1:$O$1</c:f>
              <c:strCache>
                <c:ptCount val="14"/>
                <c:pt idx="0">
                  <c:v>2000</c:v>
                </c:pt>
                <c:pt idx="1">
                  <c:v>   </c:v>
                </c:pt>
                <c:pt idx="2">
                  <c:v>2005</c:v>
                </c:pt>
                <c:pt idx="3">
                  <c:v>    </c:v>
                </c:pt>
                <c:pt idx="4">
                  <c:v>2010</c:v>
                </c:pt>
                <c:pt idx="5">
                  <c:v>  </c:v>
                </c:pt>
                <c:pt idx="6">
                  <c:v>2015</c:v>
                </c:pt>
                <c:pt idx="7">
                  <c:v>2016</c:v>
                </c:pt>
                <c:pt idx="8">
                  <c:v>2017</c:v>
                </c:pt>
                <c:pt idx="9">
                  <c:v>2018</c:v>
                </c:pt>
                <c:pt idx="10">
                  <c:v>2019</c:v>
                </c:pt>
                <c:pt idx="11">
                  <c:v>2020</c:v>
                </c:pt>
                <c:pt idx="12">
                  <c:v>2021</c:v>
                </c:pt>
                <c:pt idx="13">
                  <c:v>2022</c:v>
                </c:pt>
              </c:strCache>
            </c:strRef>
          </c:cat>
          <c:val>
            <c:numRef>
              <c:f>Blad1!$B$2:$O$2</c:f>
              <c:numCache>
                <c:formatCode>General</c:formatCode>
                <c:ptCount val="14"/>
                <c:pt idx="0" formatCode="#,##0">
                  <c:v>28733.753285237057</c:v>
                </c:pt>
                <c:pt idx="2" formatCode="#,##0">
                  <c:v>39080.347504577512</c:v>
                </c:pt>
                <c:pt idx="4" formatCode="#,##0">
                  <c:v>40129.169286768665</c:v>
                </c:pt>
                <c:pt idx="6" formatCode="#,##0">
                  <c:v>33364.155093724585</c:v>
                </c:pt>
                <c:pt idx="7" formatCode="#,##0">
                  <c:v>36554.525353499695</c:v>
                </c:pt>
                <c:pt idx="8" formatCode="#,##0">
                  <c:v>42025.953589725214</c:v>
                </c:pt>
                <c:pt idx="9" formatCode="#,##0">
                  <c:v>32432.993506432664</c:v>
                </c:pt>
                <c:pt idx="10" formatCode="#,##0">
                  <c:v>39416.999076269523</c:v>
                </c:pt>
                <c:pt idx="11" formatCode="#,##0">
                  <c:v>46689.815163543106</c:v>
                </c:pt>
                <c:pt idx="12" formatCode="#,##0">
                  <c:v>44980.316076828822</c:v>
                </c:pt>
                <c:pt idx="13" formatCode="#,##0">
                  <c:v>41316.210188222911</c:v>
                </c:pt>
              </c:numCache>
            </c:numRef>
          </c:val>
          <c:extLst>
            <c:ext xmlns:c16="http://schemas.microsoft.com/office/drawing/2014/chart" uri="{C3380CC4-5D6E-409C-BE32-E72D297353CC}">
              <c16:uniqueId val="{00000000-B883-41FA-9880-AE532A369B27}"/>
            </c:ext>
          </c:extLst>
        </c:ser>
        <c:ser>
          <c:idx val="1"/>
          <c:order val="1"/>
          <c:tx>
            <c:strRef>
              <c:f>Blad1!$A$3</c:f>
              <c:strCache>
                <c:ptCount val="1"/>
                <c:pt idx="0">
                  <c:v>Utrikes flyg</c:v>
                </c:pt>
              </c:strCache>
            </c:strRef>
          </c:tx>
          <c:spPr>
            <a:solidFill>
              <a:schemeClr val="accent2"/>
            </a:solidFill>
            <a:ln>
              <a:noFill/>
            </a:ln>
            <a:effectLst/>
          </c:spPr>
          <c:invertIfNegative val="0"/>
          <c:cat>
            <c:strRef>
              <c:f>Blad1!$B$1:$O$1</c:f>
              <c:strCache>
                <c:ptCount val="14"/>
                <c:pt idx="0">
                  <c:v>2000</c:v>
                </c:pt>
                <c:pt idx="1">
                  <c:v>   </c:v>
                </c:pt>
                <c:pt idx="2">
                  <c:v>2005</c:v>
                </c:pt>
                <c:pt idx="3">
                  <c:v>    </c:v>
                </c:pt>
                <c:pt idx="4">
                  <c:v>2010</c:v>
                </c:pt>
                <c:pt idx="5">
                  <c:v>  </c:v>
                </c:pt>
                <c:pt idx="6">
                  <c:v>2015</c:v>
                </c:pt>
                <c:pt idx="7">
                  <c:v>2016</c:v>
                </c:pt>
                <c:pt idx="8">
                  <c:v>2017</c:v>
                </c:pt>
                <c:pt idx="9">
                  <c:v>2018</c:v>
                </c:pt>
                <c:pt idx="10">
                  <c:v>2019</c:v>
                </c:pt>
                <c:pt idx="11">
                  <c:v>2020</c:v>
                </c:pt>
                <c:pt idx="12">
                  <c:v>2021</c:v>
                </c:pt>
                <c:pt idx="13">
                  <c:v>2022</c:v>
                </c:pt>
              </c:strCache>
            </c:strRef>
          </c:cat>
          <c:val>
            <c:numRef>
              <c:f>Blad1!$B$3:$O$3</c:f>
              <c:numCache>
                <c:formatCode>General</c:formatCode>
                <c:ptCount val="14"/>
                <c:pt idx="0" formatCode="#,##0">
                  <c:v>11465.418117126454</c:v>
                </c:pt>
                <c:pt idx="2" formatCode="#,##0">
                  <c:v>11410.065744640042</c:v>
                </c:pt>
                <c:pt idx="4" formatCode="#,##0">
                  <c:v>12385.114147790851</c:v>
                </c:pt>
                <c:pt idx="6" formatCode="#,##0">
                  <c:v>12589.59282642622</c:v>
                </c:pt>
                <c:pt idx="7" formatCode="#,##0">
                  <c:v>14642.579758078004</c:v>
                </c:pt>
                <c:pt idx="8" formatCode="#,##0">
                  <c:v>15871.870813853528</c:v>
                </c:pt>
                <c:pt idx="9" formatCode="#,##0">
                  <c:v>16027.332952277435</c:v>
                </c:pt>
                <c:pt idx="10" formatCode="#,##0">
                  <c:v>15136.675579245117</c:v>
                </c:pt>
                <c:pt idx="11" formatCode="#,##0">
                  <c:v>5291.4167310522016</c:v>
                </c:pt>
                <c:pt idx="12" formatCode="#,##0">
                  <c:v>5586.2787981901029</c:v>
                </c:pt>
                <c:pt idx="13" formatCode="#,##0">
                  <c:v>10171.391077408984</c:v>
                </c:pt>
              </c:numCache>
            </c:numRef>
          </c:val>
          <c:extLst>
            <c:ext xmlns:c16="http://schemas.microsoft.com/office/drawing/2014/chart" uri="{C3380CC4-5D6E-409C-BE32-E72D297353CC}">
              <c16:uniqueId val="{00000001-B883-41FA-9880-AE532A369B27}"/>
            </c:ext>
          </c:extLst>
        </c:ser>
        <c:dLbls>
          <c:showLegendKey val="0"/>
          <c:showVal val="0"/>
          <c:showCatName val="0"/>
          <c:showSerName val="0"/>
          <c:showPercent val="0"/>
          <c:showBubbleSize val="0"/>
        </c:dLbls>
        <c:gapWidth val="10"/>
        <c:axId val="1193109920"/>
        <c:axId val="1193110280"/>
      </c:barChart>
      <c:lineChart>
        <c:grouping val="standard"/>
        <c:varyColors val="0"/>
        <c:ser>
          <c:idx val="2"/>
          <c:order val="2"/>
          <c:tx>
            <c:strRef>
              <c:f>Blad1!$A$4</c:f>
              <c:strCache>
                <c:ptCount val="1"/>
                <c:pt idx="0">
                  <c:v>Territoriella koldioxidutsläpp</c:v>
                </c:pt>
              </c:strCache>
            </c:strRef>
          </c:tx>
          <c:spPr>
            <a:ln w="28575" cap="rnd">
              <a:solidFill>
                <a:schemeClr val="accent1"/>
              </a:solidFill>
              <a:round/>
            </a:ln>
            <a:effectLst/>
          </c:spPr>
          <c:marker>
            <c:symbol val="none"/>
          </c:marker>
          <c:cat>
            <c:strRef>
              <c:f>Blad1!$B$1:$O$1</c:f>
              <c:strCache>
                <c:ptCount val="14"/>
                <c:pt idx="0">
                  <c:v>2000</c:v>
                </c:pt>
                <c:pt idx="1">
                  <c:v>   </c:v>
                </c:pt>
                <c:pt idx="2">
                  <c:v>2005</c:v>
                </c:pt>
                <c:pt idx="3">
                  <c:v>    </c:v>
                </c:pt>
                <c:pt idx="4">
                  <c:v>2010</c:v>
                </c:pt>
                <c:pt idx="5">
                  <c:v>  </c:v>
                </c:pt>
                <c:pt idx="6">
                  <c:v>2015</c:v>
                </c:pt>
                <c:pt idx="7">
                  <c:v>2016</c:v>
                </c:pt>
                <c:pt idx="8">
                  <c:v>2017</c:v>
                </c:pt>
                <c:pt idx="9">
                  <c:v>2018</c:v>
                </c:pt>
                <c:pt idx="10">
                  <c:v>2019</c:v>
                </c:pt>
                <c:pt idx="11">
                  <c:v>2020</c:v>
                </c:pt>
                <c:pt idx="12">
                  <c:v>2021</c:v>
                </c:pt>
                <c:pt idx="13">
                  <c:v>2022</c:v>
                </c:pt>
              </c:strCache>
            </c:strRef>
          </c:cat>
          <c:val>
            <c:numRef>
              <c:f>Blad1!$B$4:$O$4</c:f>
              <c:numCache>
                <c:formatCode>#,##0</c:formatCode>
                <c:ptCount val="14"/>
                <c:pt idx="0">
                  <c:v>149204</c:v>
                </c:pt>
                <c:pt idx="1">
                  <c:v>157752.5</c:v>
                </c:pt>
                <c:pt idx="2">
                  <c:v>166301</c:v>
                </c:pt>
                <c:pt idx="3">
                  <c:v>159197.5</c:v>
                </c:pt>
                <c:pt idx="4">
                  <c:v>152094</c:v>
                </c:pt>
                <c:pt idx="5">
                  <c:v>124145.5</c:v>
                </c:pt>
                <c:pt idx="6">
                  <c:v>96197</c:v>
                </c:pt>
                <c:pt idx="7">
                  <c:v>94543</c:v>
                </c:pt>
                <c:pt idx="8">
                  <c:v>86232</c:v>
                </c:pt>
                <c:pt idx="9">
                  <c:v>85435</c:v>
                </c:pt>
                <c:pt idx="10">
                  <c:v>84828</c:v>
                </c:pt>
                <c:pt idx="11">
                  <c:v>77183</c:v>
                </c:pt>
                <c:pt idx="12">
                  <c:v>77221</c:v>
                </c:pt>
              </c:numCache>
            </c:numRef>
          </c:val>
          <c:smooth val="0"/>
          <c:extLst>
            <c:ext xmlns:c16="http://schemas.microsoft.com/office/drawing/2014/chart" uri="{C3380CC4-5D6E-409C-BE32-E72D297353CC}">
              <c16:uniqueId val="{0000000B-B883-41FA-9880-AE532A369B27}"/>
            </c:ext>
          </c:extLst>
        </c:ser>
        <c:dLbls>
          <c:showLegendKey val="0"/>
          <c:showVal val="0"/>
          <c:showCatName val="0"/>
          <c:showSerName val="0"/>
          <c:showPercent val="0"/>
          <c:showBubbleSize val="0"/>
        </c:dLbls>
        <c:marker val="1"/>
        <c:smooth val="0"/>
        <c:axId val="1193109920"/>
        <c:axId val="1193110280"/>
      </c:lineChart>
      <c:catAx>
        <c:axId val="119310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193110280"/>
        <c:crosses val="autoZero"/>
        <c:auto val="1"/>
        <c:lblAlgn val="ctr"/>
        <c:lblOffset val="100"/>
        <c:noMultiLvlLbl val="0"/>
      </c:catAx>
      <c:valAx>
        <c:axId val="1193110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193109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605895891786556"/>
          <c:y val="5.353942652329749E-2"/>
          <c:w val="0.54436168822683917"/>
          <c:h val="0.93324372759856633"/>
        </c:manualLayout>
      </c:layout>
      <c:pieChart>
        <c:varyColors val="1"/>
        <c:ser>
          <c:idx val="0"/>
          <c:order val="0"/>
          <c:tx>
            <c:strRef>
              <c:f>Blad1!$B$1</c:f>
              <c:strCache>
                <c:ptCount val="1"/>
                <c:pt idx="0">
                  <c:v>Försäljning</c:v>
                </c:pt>
              </c:strCache>
            </c:strRef>
          </c:tx>
          <c:dPt>
            <c:idx val="0"/>
            <c:bubble3D val="0"/>
            <c:spPr>
              <a:solidFill>
                <a:schemeClr val="accent4"/>
              </a:solidFill>
              <a:ln w="19050">
                <a:solidFill>
                  <a:schemeClr val="lt1"/>
                </a:solidFill>
              </a:ln>
              <a:effectLst/>
            </c:spPr>
            <c:extLst>
              <c:ext xmlns:c16="http://schemas.microsoft.com/office/drawing/2014/chart" uri="{C3380CC4-5D6E-409C-BE32-E72D297353CC}">
                <c16:uniqueId val="{00000001-0A69-44DE-9315-8F12185023D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A69-44DE-9315-8F12185023D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4-0A69-44DE-9315-8F12185023D3}"/>
              </c:ext>
            </c:extLst>
          </c:dPt>
          <c:dPt>
            <c:idx val="3"/>
            <c:bubble3D val="0"/>
            <c:spPr>
              <a:solidFill>
                <a:schemeClr val="accent6"/>
              </a:solidFill>
              <a:ln w="19050">
                <a:solidFill>
                  <a:schemeClr val="lt1"/>
                </a:solidFill>
              </a:ln>
              <a:effectLst/>
            </c:spPr>
            <c:extLst>
              <c:ext xmlns:c16="http://schemas.microsoft.com/office/drawing/2014/chart" uri="{C3380CC4-5D6E-409C-BE32-E72D297353CC}">
                <c16:uniqueId val="{00000002-0A69-44DE-9315-8F12185023D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97C-4C01-83C1-A5F26A163600}"/>
              </c:ext>
            </c:extLst>
          </c:dPt>
          <c:dLbls>
            <c:dLbl>
              <c:idx val="1"/>
              <c:layout>
                <c:manualLayout>
                  <c:x val="8.8854044165686652E-2"/>
                  <c:y val="-1.3440860215053764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0A69-44DE-9315-8F12185023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Blad1!$A$2:$A$6</c:f>
              <c:strCache>
                <c:ptCount val="5"/>
                <c:pt idx="0">
                  <c:v>Transporter</c:v>
                </c:pt>
                <c:pt idx="1">
                  <c:v>Energi</c:v>
                </c:pt>
                <c:pt idx="2">
                  <c:v>Livsmedel</c:v>
                </c:pt>
                <c:pt idx="3">
                  <c:v>Bostad</c:v>
                </c:pt>
                <c:pt idx="4">
                  <c:v>Övrigt</c:v>
                </c:pt>
              </c:strCache>
            </c:strRef>
          </c:cat>
          <c:val>
            <c:numRef>
              <c:f>Blad1!$B$2:$B$6</c:f>
              <c:numCache>
                <c:formatCode>_-* #\ ##0_-;\-* #\ ##0_-;_-* "-"??_-;_-@_-</c:formatCode>
                <c:ptCount val="5"/>
                <c:pt idx="0">
                  <c:v>141000</c:v>
                </c:pt>
                <c:pt idx="1">
                  <c:v>25000</c:v>
                </c:pt>
                <c:pt idx="2">
                  <c:v>84000</c:v>
                </c:pt>
                <c:pt idx="3">
                  <c:v>39000</c:v>
                </c:pt>
                <c:pt idx="4">
                  <c:v>60000</c:v>
                </c:pt>
              </c:numCache>
            </c:numRef>
          </c:val>
          <c:extLst>
            <c:ext xmlns:c16="http://schemas.microsoft.com/office/drawing/2014/chart" uri="{C3380CC4-5D6E-409C-BE32-E72D297353CC}">
              <c16:uniqueId val="{00000000-0A69-44DE-9315-8F12185023D3}"/>
            </c:ext>
          </c:extLst>
        </c:ser>
        <c:dLbls>
          <c:dLblPos val="outEnd"/>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bar"/>
        <c:grouping val="clustered"/>
        <c:varyColors val="0"/>
        <c:ser>
          <c:idx val="0"/>
          <c:order val="0"/>
          <c:tx>
            <c:strRef>
              <c:f>Blad1!$B$1</c:f>
              <c:strCache>
                <c:ptCount val="1"/>
                <c:pt idx="0">
                  <c:v>2019</c:v>
                </c:pt>
              </c:strCache>
            </c:strRef>
          </c:tx>
          <c:spPr>
            <a:solidFill>
              <a:schemeClr val="accent4"/>
            </a:solidFill>
            <a:ln>
              <a:noFill/>
            </a:ln>
            <a:effectLst/>
          </c:spPr>
          <c:invertIfNegative val="0"/>
          <c:cat>
            <c:strRef>
              <c:f>Blad1!$A$2:$A$10</c:f>
              <c:strCache>
                <c:ptCount val="9"/>
                <c:pt idx="0">
                  <c:v>Flyg</c:v>
                </c:pt>
                <c:pt idx="1">
                  <c:v>Drivmedel till personbilar</c:v>
                </c:pt>
                <c:pt idx="2">
                  <c:v>Underhåll fordon</c:v>
                </c:pt>
                <c:pt idx="3">
                  <c:v>Bilar</c:v>
                </c:pt>
                <c:pt idx="4">
                  <c:v>Kollektivtrafik</c:v>
                </c:pt>
                <c:pt idx="5">
                  <c:v>Övrigt</c:v>
                </c:pt>
                <c:pt idx="6">
                  <c:v>Parkering</c:v>
                </c:pt>
                <c:pt idx="7">
                  <c:v>Cyklar</c:v>
                </c:pt>
                <c:pt idx="8">
                  <c:v>Motorcyklar</c:v>
                </c:pt>
              </c:strCache>
            </c:strRef>
          </c:cat>
          <c:val>
            <c:numRef>
              <c:f>Blad1!$B$2:$B$10</c:f>
              <c:numCache>
                <c:formatCode>0</c:formatCode>
                <c:ptCount val="9"/>
                <c:pt idx="0">
                  <c:v>53100</c:v>
                </c:pt>
                <c:pt idx="1">
                  <c:v>51000</c:v>
                </c:pt>
                <c:pt idx="2">
                  <c:v>19500</c:v>
                </c:pt>
                <c:pt idx="3">
                  <c:v>8600</c:v>
                </c:pt>
                <c:pt idx="4">
                  <c:v>6200</c:v>
                </c:pt>
                <c:pt idx="5">
                  <c:v>1800</c:v>
                </c:pt>
                <c:pt idx="6">
                  <c:v>500</c:v>
                </c:pt>
                <c:pt idx="7">
                  <c:v>300</c:v>
                </c:pt>
                <c:pt idx="8">
                  <c:v>200</c:v>
                </c:pt>
              </c:numCache>
            </c:numRef>
          </c:val>
          <c:extLst>
            <c:ext xmlns:c16="http://schemas.microsoft.com/office/drawing/2014/chart" uri="{C3380CC4-5D6E-409C-BE32-E72D297353CC}">
              <c16:uniqueId val="{00000000-D62A-46C6-A448-EA9E2F13672A}"/>
            </c:ext>
          </c:extLst>
        </c:ser>
        <c:dLbls>
          <c:showLegendKey val="0"/>
          <c:showVal val="0"/>
          <c:showCatName val="0"/>
          <c:showSerName val="0"/>
          <c:showPercent val="0"/>
          <c:showBubbleSize val="0"/>
        </c:dLbls>
        <c:gapWidth val="50"/>
        <c:axId val="796461024"/>
        <c:axId val="480198224"/>
      </c:barChart>
      <c:catAx>
        <c:axId val="796461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80198224"/>
        <c:crosses val="autoZero"/>
        <c:auto val="1"/>
        <c:lblAlgn val="ctr"/>
        <c:lblOffset val="100"/>
        <c:noMultiLvlLbl val="0"/>
      </c:catAx>
      <c:valAx>
        <c:axId val="4801982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964610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tx>
            <c:strRef>
              <c:f>Blad1!$B$1</c:f>
              <c:strCache>
                <c:ptCount val="1"/>
                <c:pt idx="0">
                  <c:v>2019</c:v>
                </c:pt>
              </c:strCache>
            </c:strRef>
          </c:tx>
          <c:spPr>
            <a:solidFill>
              <a:schemeClr val="accent3"/>
            </a:solidFill>
            <a:ln>
              <a:noFill/>
            </a:ln>
            <a:effectLst/>
          </c:spPr>
          <c:invertIfNegative val="0"/>
          <c:cat>
            <c:strRef>
              <c:f>Blad1!$A$2:$A$11</c:f>
              <c:strCache>
                <c:ptCount val="10"/>
                <c:pt idx="0">
                  <c:v>Matserveringar</c:v>
                </c:pt>
                <c:pt idx="1">
                  <c:v>Mejeri + ägg</c:v>
                </c:pt>
                <c:pt idx="2">
                  <c:v>Kött</c:v>
                </c:pt>
                <c:pt idx="3">
                  <c:v>Grönsaker och frukt</c:v>
                </c:pt>
                <c:pt idx="4">
                  <c:v>Bröd och flingor</c:v>
                </c:pt>
                <c:pt idx="5">
                  <c:v>Godsaker</c:v>
                </c:pt>
                <c:pt idx="6">
                  <c:v>Fisk och skaldjur</c:v>
                </c:pt>
                <c:pt idx="7">
                  <c:v>Övrigt (fett, kryddor m.m.)</c:v>
                </c:pt>
                <c:pt idx="8">
                  <c:v>Drycker</c:v>
                </c:pt>
                <c:pt idx="9">
                  <c:v>Alkohol, tobak och droger</c:v>
                </c:pt>
              </c:strCache>
            </c:strRef>
          </c:cat>
          <c:val>
            <c:numRef>
              <c:f>Blad1!$B$2:$B$11</c:f>
              <c:numCache>
                <c:formatCode>General</c:formatCode>
                <c:ptCount val="10"/>
                <c:pt idx="0">
                  <c:v>13200</c:v>
                </c:pt>
                <c:pt idx="1">
                  <c:v>12400</c:v>
                </c:pt>
                <c:pt idx="2">
                  <c:v>12300</c:v>
                </c:pt>
                <c:pt idx="3">
                  <c:v>15400</c:v>
                </c:pt>
                <c:pt idx="4">
                  <c:v>6700</c:v>
                </c:pt>
                <c:pt idx="5">
                  <c:v>5600</c:v>
                </c:pt>
                <c:pt idx="6">
                  <c:v>3500</c:v>
                </c:pt>
                <c:pt idx="7">
                  <c:v>4100</c:v>
                </c:pt>
                <c:pt idx="8">
                  <c:v>5400</c:v>
                </c:pt>
                <c:pt idx="9">
                  <c:v>5000</c:v>
                </c:pt>
              </c:numCache>
            </c:numRef>
          </c:val>
          <c:extLst>
            <c:ext xmlns:c16="http://schemas.microsoft.com/office/drawing/2014/chart" uri="{C3380CC4-5D6E-409C-BE32-E72D297353CC}">
              <c16:uniqueId val="{00000000-A0E4-40CA-BA07-DE7A9A549963}"/>
            </c:ext>
          </c:extLst>
        </c:ser>
        <c:dLbls>
          <c:showLegendKey val="0"/>
          <c:showVal val="0"/>
          <c:showCatName val="0"/>
          <c:showSerName val="0"/>
          <c:showPercent val="0"/>
          <c:showBubbleSize val="0"/>
        </c:dLbls>
        <c:gapWidth val="50"/>
        <c:axId val="1203965240"/>
        <c:axId val="1203959840"/>
      </c:barChart>
      <c:catAx>
        <c:axId val="1203965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203959840"/>
        <c:crosses val="autoZero"/>
        <c:auto val="1"/>
        <c:lblAlgn val="ctr"/>
        <c:lblOffset val="100"/>
        <c:noMultiLvlLbl val="0"/>
      </c:catAx>
      <c:valAx>
        <c:axId val="12039598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2039652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9">
  <a:schemeClr val="accent6"/>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7">
  <a:schemeClr val="accent4"/>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7">
  <a:schemeClr val="accent4"/>
</cs:colorStyle>
</file>

<file path=word/charts/colors9.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Trollhattan std">
      <a:dk1>
        <a:sysClr val="windowText" lastClr="000000"/>
      </a:dk1>
      <a:lt1>
        <a:sysClr val="window" lastClr="FFFFFF"/>
      </a:lt1>
      <a:dk2>
        <a:srgbClr val="292929"/>
      </a:dk2>
      <a:lt2>
        <a:srgbClr val="F0F0F0"/>
      </a:lt2>
      <a:accent1>
        <a:srgbClr val="292929"/>
      </a:accent1>
      <a:accent2>
        <a:srgbClr val="4B2D78"/>
      </a:accent2>
      <a:accent3>
        <a:srgbClr val="19C896"/>
      </a:accent3>
      <a:accent4>
        <a:srgbClr val="00B9FF"/>
      </a:accent4>
      <a:accent5>
        <a:srgbClr val="F0FA5A"/>
      </a:accent5>
      <a:accent6>
        <a:srgbClr val="EB5F5F"/>
      </a:accent6>
      <a:hlink>
        <a:srgbClr val="4B2D78"/>
      </a:hlink>
      <a:folHlink>
        <a:srgbClr val="EB5F5F"/>
      </a:folHlink>
    </a:clrScheme>
    <a:fontScheme name="Trollhättan 2020">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9525"/>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598F09-38F2-431F-87D2-0FC086219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1152</TotalTime>
  <Pages>15</Pages>
  <Words>2507</Words>
  <Characters>13293</Characters>
  <Application>Microsoft Office Word</Application>
  <DocSecurity>0</DocSecurity>
  <Lines>110</Lines>
  <Paragraphs>31</Paragraphs>
  <ScaleCrop>false</ScaleCrop>
  <HeadingPairs>
    <vt:vector size="2" baseType="variant">
      <vt:variant>
        <vt:lpstr>Rubrik</vt:lpstr>
      </vt:variant>
      <vt:variant>
        <vt:i4>1</vt:i4>
      </vt:variant>
    </vt:vector>
  </HeadingPairs>
  <TitlesOfParts>
    <vt:vector size="1" baseType="lpstr">
      <vt:lpstr>Växthusgasutsläpp i Trollhättans Stad</vt:lpstr>
    </vt:vector>
  </TitlesOfParts>
  <Company/>
  <LinksUpToDate>false</LinksUpToDate>
  <CharactersWithSpaces>15769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Växthusgasutsläpp i Trollhättans Stad</dc:title>
  <dc:subject>En sammanställning januari 2024</dc:subject>
  <dc:creator>Fia Johannessen</dc:creator>
  <cp:keywords/>
  <dc:description/>
  <cp:lastModifiedBy>Fia Johannessen</cp:lastModifiedBy>
  <cp:revision>14</cp:revision>
  <dcterms:created xsi:type="dcterms:W3CDTF">2024-01-09T08:31:00Z</dcterms:created>
  <dcterms:modified xsi:type="dcterms:W3CDTF">2024-01-22T12:11:00Z</dcterms:modified>
</cp:coreProperties>
</file>